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14CB" w14:textId="50434172" w:rsidR="000D4B90" w:rsidRDefault="00AC4C0B" w:rsidP="00AC4C0B">
      <w:r>
        <w:t xml:space="preserve">   </w:t>
      </w:r>
    </w:p>
    <w:p w14:paraId="64A2A976" w14:textId="4F4C11F9" w:rsidR="00AC4C0B" w:rsidRDefault="00AC4C0B" w:rsidP="00AC4C0B"/>
    <w:p w14:paraId="345A4BD5" w14:textId="071C0412" w:rsidR="00AC4C0B" w:rsidRDefault="00AC4C0B" w:rsidP="00AC4C0B"/>
    <w:p w14:paraId="57C3F685" w14:textId="77777777" w:rsidR="00EE050F" w:rsidRDefault="00EE050F" w:rsidP="004840A1">
      <w:pPr>
        <w:rPr>
          <w:rFonts w:cstheme="minorHAnsi"/>
          <w:sz w:val="21"/>
          <w:szCs w:val="21"/>
        </w:rPr>
      </w:pPr>
    </w:p>
    <w:p w14:paraId="73A9D840" w14:textId="77777777" w:rsidR="00EE050F" w:rsidRDefault="00EE050F" w:rsidP="004840A1">
      <w:pPr>
        <w:rPr>
          <w:rFonts w:cstheme="minorHAnsi"/>
          <w:sz w:val="21"/>
          <w:szCs w:val="21"/>
        </w:rPr>
      </w:pP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7169"/>
      </w:tblGrid>
      <w:tr w:rsidR="00523461" w14:paraId="5053580F" w14:textId="77777777" w:rsidTr="00825E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B7BD7" w14:textId="77777777" w:rsidR="00825EE0" w:rsidRDefault="00825E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A9A6F" w14:textId="77777777" w:rsidR="00825EE0" w:rsidRDefault="00825E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</w:t>
            </w:r>
          </w:p>
        </w:tc>
      </w:tr>
      <w:tr w:rsidR="00523461" w14:paraId="0D8CC69C" w14:textId="77777777" w:rsidTr="00825E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61915" w14:textId="77777777" w:rsidR="00825EE0" w:rsidRDefault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8, 2.10 Legislative Funding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FDD081A" w14:textId="02CB62B3" w:rsidR="00825EE0" w:rsidRPr="003F2D6B" w:rsidRDefault="00825EE0" w:rsidP="00825E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there be notice provided in the event legislative funding is exhausted? If so, what timeframe would be expected?</w:t>
            </w:r>
            <w:r w:rsidR="005234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2D6B" w:rsidRPr="00B1655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Termination notices for funding </w:t>
            </w:r>
            <w:r w:rsidR="00E142C6" w:rsidRPr="00B1655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exhaustion </w:t>
            </w:r>
            <w:r w:rsidR="003F2D6B" w:rsidRPr="00B1655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would follow standard </w:t>
            </w:r>
            <w:r w:rsidR="00E142C6" w:rsidRPr="00B1655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termination procedures </w:t>
            </w:r>
            <w:r w:rsidR="003F2D6B" w:rsidRPr="00B16558">
              <w:rPr>
                <w:rFonts w:ascii="Arial" w:hAnsi="Arial" w:cs="Arial"/>
                <w:color w:val="4472C4" w:themeColor="accent1"/>
                <w:sz w:val="20"/>
                <w:szCs w:val="20"/>
              </w:rPr>
              <w:t>outlined in section 2.9. DHS would consider adding a specific notice requirement</w:t>
            </w:r>
            <w:r w:rsidR="00E142C6" w:rsidRPr="00B1655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to the contract</w:t>
            </w:r>
            <w:r w:rsidR="003F2D6B" w:rsidRPr="00B1655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in the event of funding exhaustion. Funding for SDDC is reviewed and determined </w:t>
            </w:r>
            <w:r w:rsidR="00E142C6" w:rsidRPr="00B1655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annually </w:t>
            </w:r>
            <w:r w:rsidR="003F2D6B" w:rsidRPr="00B16558">
              <w:rPr>
                <w:rFonts w:ascii="Arial" w:hAnsi="Arial" w:cs="Arial"/>
                <w:color w:val="4472C4" w:themeColor="accent1"/>
                <w:sz w:val="20"/>
                <w:szCs w:val="20"/>
              </w:rPr>
              <w:t>during legislative sessio</w:t>
            </w:r>
            <w:r w:rsidR="00E142C6" w:rsidRPr="00B16558">
              <w:rPr>
                <w:rFonts w:ascii="Arial" w:hAnsi="Arial" w:cs="Arial"/>
                <w:color w:val="4472C4" w:themeColor="accent1"/>
                <w:sz w:val="20"/>
                <w:szCs w:val="20"/>
              </w:rPr>
              <w:t>n</w:t>
            </w:r>
            <w:r w:rsidR="003F2D6B" w:rsidRPr="00B1655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. </w:t>
            </w:r>
          </w:p>
        </w:tc>
      </w:tr>
      <w:tr w:rsidR="00523461" w14:paraId="1AA9E6AD" w14:textId="77777777" w:rsidTr="00825E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BF735" w14:textId="77777777" w:rsidR="00825EE0" w:rsidRDefault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11, 4.2.3 Registered Dietitians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37905C" w14:textId="5DDBE3D8" w:rsidR="00825EE0" w:rsidRDefault="00825EE0" w:rsidP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current scope of work provided by RD? What is current schedule and hours of service (weekly/ monthly) to SDDC? What is required timeline to see a new client?</w:t>
            </w:r>
            <w:r w:rsidR="00523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461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>The required onsite quarterly for quality control.  Current schedule is as needed (prn) because the current RD has access to our E</w:t>
            </w:r>
            <w:r w:rsidR="00A20760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lectronic </w:t>
            </w:r>
            <w:r w:rsidR="00523461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>H</w:t>
            </w:r>
            <w:r w:rsidR="00A20760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ealth </w:t>
            </w:r>
            <w:r w:rsidR="00523461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>R</w:t>
            </w:r>
            <w:r w:rsidR="00A20760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>ecord</w:t>
            </w:r>
            <w:r w:rsidR="00523461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system.  Required timeline completed within 20 days for new admission. </w:t>
            </w:r>
          </w:p>
        </w:tc>
      </w:tr>
      <w:tr w:rsidR="00523461" w14:paraId="1BAFB1D9" w14:textId="77777777" w:rsidTr="00825E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338BE" w14:textId="77777777" w:rsidR="00825EE0" w:rsidRDefault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11, 4.2.5 Training Guidelines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DA485D9" w14:textId="6777F5A7" w:rsidR="00825EE0" w:rsidRDefault="00825EE0" w:rsidP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details as to required SDDC trainings that are pertinent to food service personnel.</w:t>
            </w:r>
            <w:r w:rsidR="005234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3461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>CPR/First Aid, Emergency Evacuation, and Abuse and Neglect training.  Additional training may be required at the Director’s discretion.</w:t>
            </w:r>
          </w:p>
        </w:tc>
      </w:tr>
      <w:tr w:rsidR="00523461" w14:paraId="1AB41C47" w14:textId="77777777" w:rsidTr="00825E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69E69" w14:textId="77777777" w:rsidR="00825EE0" w:rsidRDefault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12, 4.2.6, Background Check Requirements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37EE0C" w14:textId="6E46174D" w:rsidR="00825EE0" w:rsidRDefault="00825EE0" w:rsidP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 specific policy or regulations that prohibit an individual from being eligible for hire within an ICF be provided? Are SNF/Long-term Care regulations acceptable?</w:t>
            </w:r>
            <w:r w:rsidR="005234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2D6B" w:rsidRPr="00B16558">
              <w:rPr>
                <w:rFonts w:ascii="Arial" w:hAnsi="Arial" w:cs="Arial"/>
                <w:color w:val="4472C4" w:themeColor="accent1"/>
                <w:sz w:val="20"/>
                <w:szCs w:val="20"/>
              </w:rPr>
              <w:t>Requirements concerning background investigations of new employees may be found in SDCL 27B-3-52.</w:t>
            </w:r>
          </w:p>
        </w:tc>
      </w:tr>
      <w:tr w:rsidR="00523461" w14:paraId="370EF0CD" w14:textId="77777777" w:rsidTr="00825E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D8213" w14:textId="77777777" w:rsidR="00825EE0" w:rsidRDefault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12, 4.3.5 Requisition of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63C1CF" w14:textId="12F904F9" w:rsidR="00825EE0" w:rsidRDefault="00825EE0" w:rsidP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monthly activity food offerings part of </w:t>
            </w:r>
            <w:r w:rsidR="00B16558">
              <w:rPr>
                <w:rFonts w:ascii="Arial" w:hAnsi="Arial" w:cs="Arial"/>
                <w:sz w:val="20"/>
                <w:szCs w:val="20"/>
              </w:rPr>
              <w:t>all-inclusive</w:t>
            </w:r>
            <w:r>
              <w:rPr>
                <w:rFonts w:ascii="Arial" w:hAnsi="Arial" w:cs="Arial"/>
                <w:sz w:val="20"/>
                <w:szCs w:val="20"/>
              </w:rPr>
              <w:t xml:space="preserve"> pricing or will that be pass through (with snacks and supplements)? Provide examples of types of activities and samples of food items requested</w:t>
            </w:r>
            <w:r w:rsidR="00A2076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2D6B" w:rsidRPr="00B16558">
              <w:rPr>
                <w:rFonts w:ascii="Arial" w:hAnsi="Arial" w:cs="Arial"/>
                <w:color w:val="4472C4" w:themeColor="accent1"/>
                <w:sz w:val="20"/>
                <w:szCs w:val="20"/>
              </w:rPr>
              <w:t>This does not appear to be a legal question, but rather a question for staff working onsite at SDDC.</w:t>
            </w:r>
          </w:p>
        </w:tc>
      </w:tr>
      <w:tr w:rsidR="00523461" w14:paraId="63E6F961" w14:textId="77777777" w:rsidTr="00825E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8B0B4" w14:textId="07038444" w:rsidR="00825EE0" w:rsidRDefault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pg. 13, 4.3.10 </w:t>
            </w:r>
            <w:r w:rsidR="00E071B3">
              <w:rPr>
                <w:rFonts w:ascii="Arial" w:hAnsi="Arial" w:cs="Arial"/>
                <w:sz w:val="20"/>
                <w:szCs w:val="20"/>
              </w:rPr>
              <w:t>Therapeutic</w:t>
            </w:r>
            <w:r>
              <w:rPr>
                <w:rFonts w:ascii="Arial" w:hAnsi="Arial" w:cs="Arial"/>
                <w:sz w:val="20"/>
                <w:szCs w:val="20"/>
              </w:rPr>
              <w:t xml:space="preserve"> Diets and Special Circumstances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DFC720" w14:textId="07DCE1C8" w:rsidR="00825EE0" w:rsidRDefault="00825EE0" w:rsidP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clarify </w:t>
            </w:r>
            <w:r w:rsidR="00E071B3">
              <w:rPr>
                <w:rFonts w:ascii="Arial" w:hAnsi="Arial" w:cs="Arial"/>
                <w:sz w:val="20"/>
                <w:szCs w:val="20"/>
              </w:rPr>
              <w:t>the responsible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party for obtaining and providing tube feeding formula. Is this the responsibility of SDDC</w:t>
            </w:r>
            <w:r w:rsidRPr="001041BF">
              <w:rPr>
                <w:rFonts w:ascii="Arial" w:hAnsi="Arial" w:cs="Arial"/>
                <w:sz w:val="20"/>
                <w:szCs w:val="20"/>
              </w:rPr>
              <w:t>?</w:t>
            </w:r>
            <w:r w:rsidR="00071302" w:rsidRPr="001041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041BF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>Yes, this is SDDC’s responsibility.</w:t>
            </w:r>
          </w:p>
        </w:tc>
      </w:tr>
      <w:tr w:rsidR="00523461" w14:paraId="041B2E0F" w14:textId="77777777" w:rsidTr="00825E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9E784" w14:textId="6DC3D645" w:rsidR="00825EE0" w:rsidRDefault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pg. 13, 4.3.10 </w:t>
            </w:r>
            <w:r w:rsidR="00E071B3">
              <w:rPr>
                <w:rFonts w:ascii="Arial" w:hAnsi="Arial" w:cs="Arial"/>
                <w:sz w:val="20"/>
                <w:szCs w:val="20"/>
              </w:rPr>
              <w:t>Therapeutic</w:t>
            </w:r>
            <w:r>
              <w:rPr>
                <w:rFonts w:ascii="Arial" w:hAnsi="Arial" w:cs="Arial"/>
                <w:sz w:val="20"/>
                <w:szCs w:val="20"/>
              </w:rPr>
              <w:t xml:space="preserve"> Diets and Special Circumstances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336E4C" w14:textId="78A271DA" w:rsidR="00825EE0" w:rsidRDefault="00825EE0" w:rsidP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clarify if modified diet </w:t>
            </w:r>
            <w:r w:rsidR="00102CF5">
              <w:rPr>
                <w:rFonts w:ascii="Arial" w:hAnsi="Arial" w:cs="Arial"/>
                <w:sz w:val="20"/>
                <w:szCs w:val="20"/>
              </w:rPr>
              <w:t>textures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(puree, mechanical) follow the National Dysphagia Diet guidelines or the International Dysphagia Diet Standardization Act guidelines.</w:t>
            </w:r>
            <w:r w:rsidR="000713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0760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>The Florida Manual: The Manual of Medical Nutrition Therapy, 2019 Edition and International Dysphasia Diet Standardization Initiative.</w:t>
            </w:r>
          </w:p>
        </w:tc>
      </w:tr>
      <w:tr w:rsidR="00523461" w14:paraId="09398640" w14:textId="77777777" w:rsidTr="00825E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29DC3" w14:textId="77777777" w:rsidR="00825EE0" w:rsidRDefault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17, 4.5.1- 4.5.2 Equipment Maintenance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2B110A" w14:textId="257D65CA" w:rsidR="00825EE0" w:rsidRDefault="00825EE0" w:rsidP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contractor responsible for maintenance of equipment beyond regular cleaning routines? Is vendor or SDDC responsible for hood duct inspections/ cleanings and grease trap?</w:t>
            </w:r>
            <w:r w:rsidR="000713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041BF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>No/No</w:t>
            </w:r>
          </w:p>
        </w:tc>
      </w:tr>
      <w:tr w:rsidR="00523461" w14:paraId="6D317381" w14:textId="77777777" w:rsidTr="00825E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00203" w14:textId="77777777" w:rsidR="00825EE0" w:rsidRDefault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20, 4.8.1 Security/ 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A3934" w14:textId="05967FD5" w:rsidR="00825EE0" w:rsidRDefault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replacement cost of keys/ access cards?</w:t>
            </w:r>
            <w:r w:rsidR="000713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1302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>No charge</w:t>
            </w:r>
          </w:p>
        </w:tc>
      </w:tr>
      <w:tr w:rsidR="00523461" w14:paraId="1C3423C5" w14:textId="77777777" w:rsidTr="00825E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90032" w14:textId="77777777" w:rsidR="00825EE0" w:rsidRDefault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21, 4.9.2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F93A08" w14:textId="552212A5" w:rsidR="00825EE0" w:rsidRDefault="00825EE0" w:rsidP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internet be provided by SDDC? Is a computer provided by SDDC for vendor usage? If so, what are the associated costs?</w:t>
            </w:r>
            <w:r w:rsidR="00071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302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 w:rsidR="00A20760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>Vendor will need to provide their own internet</w:t>
            </w:r>
            <w:r w:rsidR="00071302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and</w:t>
            </w:r>
            <w:r w:rsidR="00A20760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one</w:t>
            </w:r>
            <w:r w:rsidR="00071302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computer will be provided </w:t>
            </w:r>
            <w:r w:rsidR="00A20760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>for the RD to access our Electronic Health Record system.</w:t>
            </w:r>
          </w:p>
        </w:tc>
      </w:tr>
      <w:tr w:rsidR="00523461" w14:paraId="439D0AEB" w14:textId="77777777" w:rsidTr="00825E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CEE66" w14:textId="77777777" w:rsidR="00825EE0" w:rsidRDefault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pg. 24, 5.3 References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26A82" w14:textId="186C6379" w:rsidR="00825EE0" w:rsidRDefault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confirm a total of 3 references are requested. </w:t>
            </w:r>
            <w:r w:rsidR="001041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041BF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>Yes</w:t>
            </w:r>
          </w:p>
        </w:tc>
      </w:tr>
      <w:tr w:rsidR="00523461" w14:paraId="17D4ED4A" w14:textId="77777777" w:rsidTr="00825E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89F6D" w14:textId="77777777" w:rsidR="00825EE0" w:rsidRDefault="00825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C9126F" w14:textId="1AF9476C" w:rsidR="00825EE0" w:rsidRDefault="00825EE0" w:rsidP="0082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current count of employees/ staff/ visitor meals served? What is current count of employees/ staff on SDDC campus?</w:t>
            </w:r>
            <w:r w:rsidR="001041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041BF" w:rsidRPr="00060FBF">
              <w:rPr>
                <w:rFonts w:ascii="Arial" w:hAnsi="Arial" w:cs="Arial"/>
                <w:color w:val="4472C4" w:themeColor="accent1"/>
                <w:sz w:val="20"/>
                <w:szCs w:val="20"/>
              </w:rPr>
              <w:t>15 staff/visitor meals per day.  250-275 FT and PT employees.</w:t>
            </w:r>
          </w:p>
        </w:tc>
      </w:tr>
    </w:tbl>
    <w:p w14:paraId="29D4A3C9" w14:textId="77777777" w:rsidR="00EE050F" w:rsidRDefault="00EE050F" w:rsidP="004840A1">
      <w:pPr>
        <w:rPr>
          <w:rFonts w:cstheme="minorHAnsi"/>
          <w:sz w:val="21"/>
          <w:szCs w:val="21"/>
        </w:rPr>
      </w:pPr>
    </w:p>
    <w:p w14:paraId="4986A3E7" w14:textId="77777777" w:rsidR="00EE050F" w:rsidRPr="00261834" w:rsidRDefault="00EE050F" w:rsidP="004840A1">
      <w:pPr>
        <w:rPr>
          <w:rFonts w:cstheme="minorHAnsi"/>
          <w:sz w:val="21"/>
          <w:szCs w:val="21"/>
        </w:rPr>
      </w:pPr>
    </w:p>
    <w:sectPr w:rsidR="00EE050F" w:rsidRPr="00261834" w:rsidSect="00EB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053C6A"/>
    <w:multiLevelType w:val="hybridMultilevel"/>
    <w:tmpl w:val="EF7876F2"/>
    <w:lvl w:ilvl="0" w:tplc="BBE6F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2D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E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C9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E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07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ED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CA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69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FF4AA1"/>
    <w:multiLevelType w:val="hybridMultilevel"/>
    <w:tmpl w:val="7A906AF8"/>
    <w:lvl w:ilvl="0" w:tplc="14A8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CE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01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60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2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07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5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E4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C9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A12BE5"/>
    <w:multiLevelType w:val="hybridMultilevel"/>
    <w:tmpl w:val="6C1030E4"/>
    <w:lvl w:ilvl="0" w:tplc="2222F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A4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4F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A2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03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67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0E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CC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82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A066F2"/>
    <w:multiLevelType w:val="hybridMultilevel"/>
    <w:tmpl w:val="54BAD158"/>
    <w:lvl w:ilvl="0" w:tplc="A2EE2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4A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0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81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2D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0C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6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6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23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49041383">
    <w:abstractNumId w:val="5"/>
  </w:num>
  <w:num w:numId="2" w16cid:durableId="1209494103">
    <w:abstractNumId w:val="6"/>
  </w:num>
  <w:num w:numId="3" w16cid:durableId="1815443461">
    <w:abstractNumId w:val="3"/>
  </w:num>
  <w:num w:numId="4" w16cid:durableId="456948704">
    <w:abstractNumId w:val="4"/>
  </w:num>
  <w:num w:numId="5" w16cid:durableId="1416706875">
    <w:abstractNumId w:val="0"/>
  </w:num>
  <w:num w:numId="6" w16cid:durableId="918906227">
    <w:abstractNumId w:val="1"/>
  </w:num>
  <w:num w:numId="7" w16cid:durableId="870730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0B"/>
    <w:rsid w:val="00060FBF"/>
    <w:rsid w:val="000664B8"/>
    <w:rsid w:val="00071302"/>
    <w:rsid w:val="000D4B90"/>
    <w:rsid w:val="00102CF5"/>
    <w:rsid w:val="001041BF"/>
    <w:rsid w:val="00116DDB"/>
    <w:rsid w:val="00261834"/>
    <w:rsid w:val="003A6454"/>
    <w:rsid w:val="003F2D6B"/>
    <w:rsid w:val="004840A1"/>
    <w:rsid w:val="00523461"/>
    <w:rsid w:val="00602FD3"/>
    <w:rsid w:val="0079154D"/>
    <w:rsid w:val="00825EE0"/>
    <w:rsid w:val="008D01BA"/>
    <w:rsid w:val="008E3A89"/>
    <w:rsid w:val="009021AC"/>
    <w:rsid w:val="00965334"/>
    <w:rsid w:val="00A20760"/>
    <w:rsid w:val="00AC4C0B"/>
    <w:rsid w:val="00B16558"/>
    <w:rsid w:val="00D7774F"/>
    <w:rsid w:val="00E071B3"/>
    <w:rsid w:val="00E142C6"/>
    <w:rsid w:val="00EB244E"/>
    <w:rsid w:val="00EE050F"/>
    <w:rsid w:val="00F176D9"/>
    <w:rsid w:val="00F57EBE"/>
    <w:rsid w:val="00F6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0179"/>
  <w15:chartTrackingRefBased/>
  <w15:docId w15:val="{15FA31CC-B1B4-5047-9800-D0A6DEEA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Schuetzle, Missy</cp:lastModifiedBy>
  <cp:revision>3</cp:revision>
  <dcterms:created xsi:type="dcterms:W3CDTF">2024-03-20T18:14:00Z</dcterms:created>
  <dcterms:modified xsi:type="dcterms:W3CDTF">2024-03-20T18:18:00Z</dcterms:modified>
</cp:coreProperties>
</file>