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8F64" w14:textId="77777777" w:rsidR="00B12CF9"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Request for </w:t>
      </w:r>
      <w:r>
        <w:rPr>
          <w:rFonts w:asciiTheme="minorHAnsi" w:eastAsia="Times New Roman" w:hAnsiTheme="minorHAnsi" w:cs="Arial"/>
          <w:b/>
          <w:sz w:val="28"/>
          <w:szCs w:val="44"/>
        </w:rPr>
        <w:t>Quote (RFQ)</w:t>
      </w:r>
    </w:p>
    <w:p w14:paraId="4B93B10A" w14:textId="77777777" w:rsidR="00B12CF9" w:rsidRPr="00EF46A2" w:rsidRDefault="00B12CF9" w:rsidP="00B12CF9">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 xml:space="preserve">Version </w:t>
      </w:r>
      <w:r w:rsidR="00176A36">
        <w:rPr>
          <w:rFonts w:asciiTheme="minorHAnsi" w:eastAsia="Times New Roman" w:hAnsiTheme="minorHAnsi" w:cs="Arial"/>
          <w:b/>
          <w:sz w:val="28"/>
          <w:szCs w:val="44"/>
        </w:rPr>
        <w:t>2.</w:t>
      </w:r>
      <w:r w:rsidR="00383F2C">
        <w:rPr>
          <w:rFonts w:asciiTheme="minorHAnsi" w:eastAsia="Times New Roman" w:hAnsiTheme="minorHAnsi" w:cs="Arial"/>
          <w:b/>
          <w:sz w:val="28"/>
          <w:szCs w:val="44"/>
        </w:rPr>
        <w:t>2</w:t>
      </w:r>
      <w:r w:rsidR="00506B3E">
        <w:rPr>
          <w:rFonts w:asciiTheme="minorHAnsi" w:eastAsia="Times New Roman" w:hAnsiTheme="minorHAnsi" w:cs="Arial"/>
          <w:b/>
          <w:sz w:val="28"/>
          <w:szCs w:val="44"/>
        </w:rPr>
        <w:t>4</w:t>
      </w:r>
    </w:p>
    <w:p w14:paraId="7BFBB1EF" w14:textId="77777777" w:rsidR="00B12CF9" w:rsidRPr="00EF46A2" w:rsidRDefault="00B12CF9" w:rsidP="00B12CF9">
      <w:pPr>
        <w:rPr>
          <w:rFonts w:asciiTheme="minorHAnsi" w:eastAsia="Times New Roman" w:hAnsiTheme="minorHAnsi" w:cs="Arial"/>
          <w:b/>
          <w:sz w:val="36"/>
          <w:szCs w:val="44"/>
        </w:rPr>
      </w:pPr>
    </w:p>
    <w:p w14:paraId="01E624D9" w14:textId="77777777" w:rsidR="00B12CF9" w:rsidRPr="00EF46A2" w:rsidRDefault="00B12CF9" w:rsidP="00B12CF9">
      <w:pPr>
        <w:jc w:val="center"/>
        <w:rPr>
          <w:rFonts w:asciiTheme="minorHAnsi" w:eastAsia="Times New Roman" w:hAnsiTheme="minorHAnsi" w:cs="Arial"/>
          <w:b/>
          <w:sz w:val="36"/>
          <w:szCs w:val="44"/>
        </w:rPr>
      </w:pPr>
    </w:p>
    <w:p w14:paraId="75205898" w14:textId="77777777" w:rsidR="00B12CF9" w:rsidRPr="00EF46A2" w:rsidRDefault="00B12CF9" w:rsidP="00B12CF9">
      <w:pPr>
        <w:jc w:val="center"/>
        <w:rPr>
          <w:rFonts w:asciiTheme="minorHAnsi" w:eastAsia="Times New Roman" w:hAnsiTheme="minorHAnsi" w:cs="Arial"/>
          <w:b/>
          <w:sz w:val="36"/>
          <w:szCs w:val="44"/>
        </w:rPr>
      </w:pPr>
    </w:p>
    <w:tbl>
      <w:tblPr>
        <w:tblStyle w:val="TableGrid"/>
        <w:tblW w:w="0" w:type="auto"/>
        <w:tblLook w:val="04A0" w:firstRow="1" w:lastRow="0" w:firstColumn="1" w:lastColumn="0" w:noHBand="0" w:noVBand="1"/>
      </w:tblPr>
      <w:tblGrid>
        <w:gridCol w:w="3325"/>
        <w:gridCol w:w="6025"/>
      </w:tblGrid>
      <w:tr w:rsidR="00B12CF9" w14:paraId="14E22AA4" w14:textId="77777777" w:rsidTr="005C0715">
        <w:tc>
          <w:tcPr>
            <w:tcW w:w="3325" w:type="dxa"/>
            <w:shd w:val="clear" w:color="auto" w:fill="F2F2F2" w:themeFill="background1" w:themeFillShade="F2"/>
          </w:tcPr>
          <w:p w14:paraId="74F3AF29"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4393B70C" w14:textId="3EB83EAF" w:rsidR="00B12CF9" w:rsidRPr="008E5C37" w:rsidRDefault="00091338" w:rsidP="005C0715">
            <w:pPr>
              <w:rPr>
                <w:rFonts w:asciiTheme="minorHAnsi" w:eastAsia="Times New Roman" w:hAnsiTheme="minorHAnsi" w:cs="Arial"/>
                <w:sz w:val="28"/>
                <w:szCs w:val="44"/>
              </w:rPr>
            </w:pPr>
            <w:r w:rsidRPr="00091338">
              <w:rPr>
                <w:rFonts w:asciiTheme="minorHAnsi" w:eastAsia="Times New Roman" w:hAnsiTheme="minorHAnsi" w:cs="Arial"/>
                <w:sz w:val="28"/>
                <w:szCs w:val="44"/>
              </w:rPr>
              <w:t>RFQ 3892754 - Two Bellows-Sealed Linear Translators for a UHV System</w:t>
            </w:r>
          </w:p>
        </w:tc>
      </w:tr>
      <w:tr w:rsidR="00B12CF9" w14:paraId="49203325" w14:textId="77777777" w:rsidTr="005C0715">
        <w:tc>
          <w:tcPr>
            <w:tcW w:w="3325" w:type="dxa"/>
            <w:shd w:val="clear" w:color="auto" w:fill="F2F2F2" w:themeFill="background1" w:themeFillShade="F2"/>
          </w:tcPr>
          <w:p w14:paraId="438AA2E7"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38986324" w14:textId="715D242C" w:rsidR="00B12CF9" w:rsidRPr="008E5C37" w:rsidRDefault="00091338" w:rsidP="005C0715">
            <w:pPr>
              <w:rPr>
                <w:rFonts w:asciiTheme="minorHAnsi" w:eastAsia="Times New Roman" w:hAnsiTheme="minorHAnsi" w:cs="Arial"/>
                <w:sz w:val="28"/>
                <w:szCs w:val="44"/>
              </w:rPr>
            </w:pPr>
            <w:r w:rsidRPr="00091338">
              <w:rPr>
                <w:rFonts w:asciiTheme="minorHAnsi" w:eastAsia="Times New Roman" w:hAnsiTheme="minorHAnsi" w:cs="Arial"/>
                <w:sz w:val="28"/>
                <w:szCs w:val="44"/>
              </w:rPr>
              <w:t>3892754-Roberts</w:t>
            </w:r>
          </w:p>
        </w:tc>
      </w:tr>
      <w:tr w:rsidR="00B12CF9" w14:paraId="689749AF" w14:textId="77777777" w:rsidTr="005C0715">
        <w:tc>
          <w:tcPr>
            <w:tcW w:w="3325" w:type="dxa"/>
            <w:shd w:val="clear" w:color="auto" w:fill="F2F2F2" w:themeFill="background1" w:themeFillShade="F2"/>
          </w:tcPr>
          <w:p w14:paraId="7356EED3"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6915136E" w14:textId="2EB8AF95" w:rsidR="00B12CF9" w:rsidRPr="008E5C37" w:rsidRDefault="00896CCC" w:rsidP="005C0715">
            <w:pPr>
              <w:rPr>
                <w:rFonts w:asciiTheme="minorHAnsi" w:eastAsia="Times New Roman" w:hAnsiTheme="minorHAnsi" w:cs="Arial"/>
                <w:sz w:val="28"/>
                <w:szCs w:val="44"/>
              </w:rPr>
            </w:pPr>
            <w:r>
              <w:rPr>
                <w:rFonts w:asciiTheme="minorHAnsi" w:eastAsia="Times New Roman" w:hAnsiTheme="minorHAnsi" w:cs="Arial"/>
                <w:sz w:val="28"/>
                <w:szCs w:val="44"/>
              </w:rPr>
              <w:t>April 9, 2024</w:t>
            </w:r>
          </w:p>
        </w:tc>
      </w:tr>
      <w:tr w:rsidR="00B12CF9" w14:paraId="78DE767A" w14:textId="77777777" w:rsidTr="005C0715">
        <w:tc>
          <w:tcPr>
            <w:tcW w:w="3325" w:type="dxa"/>
            <w:shd w:val="clear" w:color="auto" w:fill="F2F2F2" w:themeFill="background1" w:themeFillShade="F2"/>
          </w:tcPr>
          <w:p w14:paraId="0EF2BFE7" w14:textId="77777777" w:rsidR="00B12CF9" w:rsidRDefault="00B12CF9" w:rsidP="005C0715">
            <w:pPr>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11B8C807" w14:textId="7EB3E3E7" w:rsidR="00B12CF9" w:rsidRPr="008E5C37" w:rsidRDefault="00896CCC" w:rsidP="005C0715">
            <w:pPr>
              <w:rPr>
                <w:rFonts w:asciiTheme="minorHAnsi" w:eastAsia="Times New Roman" w:hAnsiTheme="minorHAnsi" w:cs="Arial"/>
                <w:sz w:val="28"/>
                <w:szCs w:val="44"/>
              </w:rPr>
            </w:pPr>
            <w:r>
              <w:rPr>
                <w:rFonts w:asciiTheme="minorHAnsi" w:eastAsia="Times New Roman" w:hAnsiTheme="minorHAnsi" w:cs="Arial"/>
                <w:sz w:val="28"/>
                <w:szCs w:val="44"/>
              </w:rPr>
              <w:t>April</w:t>
            </w:r>
            <w:r w:rsidR="002119A5">
              <w:rPr>
                <w:rFonts w:asciiTheme="minorHAnsi" w:eastAsia="Times New Roman" w:hAnsiTheme="minorHAnsi" w:cs="Arial"/>
                <w:sz w:val="28"/>
                <w:szCs w:val="44"/>
              </w:rPr>
              <w:t xml:space="preserve"> 23, </w:t>
            </w:r>
            <w:proofErr w:type="gramStart"/>
            <w:r w:rsidR="002119A5">
              <w:rPr>
                <w:rFonts w:asciiTheme="minorHAnsi" w:eastAsia="Times New Roman" w:hAnsiTheme="minorHAnsi" w:cs="Arial"/>
                <w:sz w:val="28"/>
                <w:szCs w:val="44"/>
              </w:rPr>
              <w:t>2024</w:t>
            </w:r>
            <w:proofErr w:type="gramEnd"/>
            <w:r w:rsidR="002119A5">
              <w:rPr>
                <w:rFonts w:asciiTheme="minorHAnsi" w:eastAsia="Times New Roman" w:hAnsiTheme="minorHAnsi" w:cs="Arial"/>
                <w:sz w:val="28"/>
                <w:szCs w:val="44"/>
              </w:rPr>
              <w:t xml:space="preserve"> at 2:00 PM EST</w:t>
            </w:r>
          </w:p>
        </w:tc>
      </w:tr>
    </w:tbl>
    <w:p w14:paraId="09742088" w14:textId="77777777" w:rsidR="00B12CF9" w:rsidRDefault="00B12CF9" w:rsidP="00B12CF9">
      <w:pPr>
        <w:rPr>
          <w:rFonts w:asciiTheme="minorHAnsi" w:eastAsia="Times New Roman" w:hAnsiTheme="minorHAnsi" w:cs="Arial"/>
          <w:b/>
          <w:sz w:val="28"/>
          <w:szCs w:val="44"/>
        </w:rPr>
      </w:pPr>
      <w:r w:rsidRPr="00EF46A2">
        <w:rPr>
          <w:rFonts w:asciiTheme="minorHAnsi" w:eastAsia="Times New Roman" w:hAnsiTheme="minorHAnsi" w:cs="Arial"/>
          <w:b/>
          <w:sz w:val="28"/>
          <w:szCs w:val="44"/>
        </w:rPr>
        <w:t xml:space="preserve"> </w:t>
      </w:r>
    </w:p>
    <w:p w14:paraId="4710BEC6" w14:textId="77777777" w:rsidR="00B12CF9" w:rsidRPr="00EF46A2" w:rsidRDefault="00B12CF9" w:rsidP="00B12CF9">
      <w:pPr>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B12CF9" w14:paraId="2870AEC8" w14:textId="77777777" w:rsidTr="005C0715">
        <w:tc>
          <w:tcPr>
            <w:tcW w:w="3325" w:type="dxa"/>
            <w:shd w:val="clear" w:color="auto" w:fill="F2F2F2" w:themeFill="background1" w:themeFillShade="F2"/>
          </w:tcPr>
          <w:p w14:paraId="687382B3" w14:textId="77777777" w:rsidR="00B12CF9" w:rsidRDefault="00B12CF9" w:rsidP="005C0715">
            <w:pPr>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326A05E3" w14:textId="77777777" w:rsidR="00B12CF9" w:rsidRPr="008E5C37" w:rsidRDefault="00B12CF9" w:rsidP="005C0715">
            <w:pPr>
              <w:rPr>
                <w:rFonts w:asciiTheme="minorHAnsi" w:eastAsia="Times New Roman" w:hAnsiTheme="minorHAnsi" w:cs="Arial"/>
                <w:sz w:val="36"/>
                <w:szCs w:val="44"/>
              </w:rPr>
            </w:pPr>
          </w:p>
        </w:tc>
      </w:tr>
      <w:tr w:rsidR="00B12CF9" w14:paraId="378966B4" w14:textId="77777777" w:rsidTr="005C0715">
        <w:tc>
          <w:tcPr>
            <w:tcW w:w="3325" w:type="dxa"/>
            <w:shd w:val="clear" w:color="auto" w:fill="F2F2F2" w:themeFill="background1" w:themeFillShade="F2"/>
          </w:tcPr>
          <w:p w14:paraId="05EDF5EB"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14FFE1E2" w14:textId="77777777" w:rsidR="00B12CF9" w:rsidRPr="008E5C37" w:rsidRDefault="00B12CF9" w:rsidP="005C0715">
            <w:pPr>
              <w:rPr>
                <w:rFonts w:asciiTheme="minorHAnsi" w:eastAsia="Times New Roman" w:hAnsiTheme="minorHAnsi" w:cs="Arial"/>
                <w:sz w:val="36"/>
                <w:szCs w:val="44"/>
              </w:rPr>
            </w:pPr>
          </w:p>
        </w:tc>
      </w:tr>
      <w:tr w:rsidR="00B12CF9" w14:paraId="0B3845C9" w14:textId="77777777" w:rsidTr="005C0715">
        <w:tc>
          <w:tcPr>
            <w:tcW w:w="3325" w:type="dxa"/>
            <w:shd w:val="clear" w:color="auto" w:fill="F2F2F2" w:themeFill="background1" w:themeFillShade="F2"/>
          </w:tcPr>
          <w:p w14:paraId="2D35EBCC"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08A3B3E0" w14:textId="77777777" w:rsidR="00B12CF9" w:rsidRPr="008E5C37" w:rsidRDefault="00B12CF9" w:rsidP="005C0715">
            <w:pPr>
              <w:rPr>
                <w:rFonts w:asciiTheme="minorHAnsi" w:eastAsia="Times New Roman" w:hAnsiTheme="minorHAnsi" w:cs="Arial"/>
                <w:sz w:val="36"/>
                <w:szCs w:val="44"/>
              </w:rPr>
            </w:pPr>
          </w:p>
        </w:tc>
      </w:tr>
      <w:tr w:rsidR="00B12CF9" w14:paraId="3B11A66F" w14:textId="77777777" w:rsidTr="005C0715">
        <w:tc>
          <w:tcPr>
            <w:tcW w:w="3325" w:type="dxa"/>
            <w:shd w:val="clear" w:color="auto" w:fill="F2F2F2" w:themeFill="background1" w:themeFillShade="F2"/>
          </w:tcPr>
          <w:p w14:paraId="08D9E659" w14:textId="77777777" w:rsidR="00B12CF9" w:rsidRPr="0085309A" w:rsidRDefault="00B12CF9" w:rsidP="005C0715">
            <w:pPr>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2A668BE5" w14:textId="77777777" w:rsidR="00B12CF9" w:rsidRPr="008E5C37" w:rsidRDefault="00B12CF9" w:rsidP="005C0715">
            <w:pPr>
              <w:rPr>
                <w:rFonts w:asciiTheme="minorHAnsi" w:eastAsia="Times New Roman" w:hAnsiTheme="minorHAnsi" w:cs="Arial"/>
                <w:sz w:val="36"/>
                <w:szCs w:val="44"/>
              </w:rPr>
            </w:pPr>
          </w:p>
        </w:tc>
      </w:tr>
    </w:tbl>
    <w:p w14:paraId="2F2ACCC9" w14:textId="77777777" w:rsidR="00B12CF9" w:rsidRDefault="00B12CF9" w:rsidP="00B12CF9">
      <w:pPr>
        <w:rPr>
          <w:rFonts w:asciiTheme="minorHAnsi" w:eastAsia="Times New Roman" w:hAnsiTheme="minorHAnsi" w:cs="Arial"/>
          <w:b/>
          <w:sz w:val="36"/>
          <w:szCs w:val="44"/>
        </w:rPr>
      </w:pPr>
    </w:p>
    <w:p w14:paraId="17FF1A68" w14:textId="77777777" w:rsidR="00B12CF9" w:rsidRDefault="00B12CF9" w:rsidP="00B12CF9">
      <w:pPr>
        <w:pStyle w:val="NoSpacing"/>
      </w:pPr>
      <w:r>
        <w:br w:type="page"/>
      </w:r>
    </w:p>
    <w:p w14:paraId="30A4C406" w14:textId="77777777" w:rsidR="00B12CF9" w:rsidRPr="000205E7" w:rsidRDefault="00B12CF9" w:rsidP="00B12CF9">
      <w:pPr>
        <w:pStyle w:val="NoSpacing"/>
        <w:pBdr>
          <w:bottom w:val="single" w:sz="4" w:space="1" w:color="auto"/>
        </w:pBdr>
        <w:rPr>
          <w:rFonts w:asciiTheme="minorHAnsi" w:hAnsiTheme="minorHAnsi" w:cstheme="minorHAnsi"/>
          <w:sz w:val="24"/>
          <w:szCs w:val="24"/>
        </w:rPr>
      </w:pPr>
      <w:r w:rsidRPr="000205E7">
        <w:rPr>
          <w:rFonts w:asciiTheme="minorHAnsi" w:hAnsiTheme="minorHAnsi" w:cstheme="minorHAnsi"/>
          <w:b/>
          <w:sz w:val="24"/>
          <w:szCs w:val="24"/>
        </w:rPr>
        <w:lastRenderedPageBreak/>
        <w:t xml:space="preserve">Section </w:t>
      </w:r>
      <w:r>
        <w:rPr>
          <w:rFonts w:asciiTheme="minorHAnsi" w:hAnsiTheme="minorHAnsi" w:cstheme="minorHAnsi"/>
          <w:b/>
          <w:sz w:val="24"/>
          <w:szCs w:val="24"/>
        </w:rPr>
        <w:t>A</w:t>
      </w:r>
      <w:r w:rsidRPr="000205E7">
        <w:rPr>
          <w:rFonts w:asciiTheme="minorHAnsi" w:hAnsiTheme="minorHAnsi" w:cstheme="minorHAnsi"/>
          <w:b/>
          <w:sz w:val="24"/>
          <w:szCs w:val="24"/>
        </w:rPr>
        <w:t>: Introduction</w:t>
      </w:r>
      <w:r>
        <w:rPr>
          <w:rFonts w:asciiTheme="minorHAnsi" w:hAnsiTheme="minorHAnsi" w:cstheme="minorHAnsi"/>
          <w:b/>
          <w:sz w:val="24"/>
          <w:szCs w:val="24"/>
        </w:rPr>
        <w:t xml:space="preserve"> and Basic Information </w:t>
      </w:r>
    </w:p>
    <w:p w14:paraId="3C00F585" w14:textId="77777777" w:rsidR="00B12CF9" w:rsidRPr="000205E7" w:rsidRDefault="00B12CF9" w:rsidP="00B12CF9">
      <w:pPr>
        <w:pStyle w:val="NoSpacing"/>
        <w:rPr>
          <w:rFonts w:asciiTheme="minorHAnsi" w:hAnsiTheme="minorHAnsi" w:cstheme="minorHAnsi"/>
          <w:sz w:val="24"/>
          <w:szCs w:val="24"/>
        </w:rPr>
      </w:pPr>
    </w:p>
    <w:p w14:paraId="3E092102" w14:textId="2585F340" w:rsidR="004C1814" w:rsidRPr="00BE390F" w:rsidRDefault="00B12CF9" w:rsidP="004C1814">
      <w:pPr>
        <w:pStyle w:val="ListParagraph"/>
        <w:spacing w:after="0"/>
        <w:jc w:val="both"/>
        <w:rPr>
          <w:sz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r w:rsidR="004C1814">
        <w:t>The Advanced Photoelectron Core Facility at the University of Tennessee Knoxville is requesting quotes for two bellow-sealed linear translator manipulators.</w:t>
      </w:r>
    </w:p>
    <w:p w14:paraId="6CF71B9C" w14:textId="77777777" w:rsidR="00B12CF9" w:rsidRPr="004C1814" w:rsidRDefault="00B12CF9" w:rsidP="004C1814">
      <w:pPr>
        <w:pStyle w:val="NoSpacing"/>
        <w:rPr>
          <w:rFonts w:asciiTheme="minorHAnsi" w:hAnsiTheme="minorHAnsi" w:cstheme="minorHAnsi"/>
          <w:sz w:val="24"/>
          <w:szCs w:val="24"/>
          <w:u w:val="single"/>
        </w:rPr>
      </w:pPr>
    </w:p>
    <w:p w14:paraId="5EEB2BC0" w14:textId="77777777" w:rsidR="00B12CF9" w:rsidRDefault="00B12CF9" w:rsidP="00B12CF9">
      <w:pPr>
        <w:pStyle w:val="NoSpacing"/>
        <w:ind w:left="360"/>
        <w:rPr>
          <w:rFonts w:asciiTheme="minorHAnsi" w:hAnsiTheme="minorHAnsi" w:cstheme="minorHAnsi"/>
          <w:sz w:val="24"/>
          <w:szCs w:val="24"/>
        </w:rPr>
      </w:pPr>
    </w:p>
    <w:p w14:paraId="7EFA5D28" w14:textId="77777777"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65D4C3C3" w14:textId="77777777" w:rsidR="00B12CF9" w:rsidRPr="000205E7" w:rsidRDefault="00B12CF9" w:rsidP="00B12CF9">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2E66EFF9" w14:textId="77777777" w:rsidR="00B12CF9" w:rsidRPr="000205E7" w:rsidRDefault="00B12CF9" w:rsidP="00B12CF9">
      <w:pPr>
        <w:pStyle w:val="NoSpacing"/>
        <w:ind w:left="1440"/>
        <w:rPr>
          <w:rFonts w:asciiTheme="minorHAnsi" w:hAnsiTheme="minorHAnsi" w:cstheme="minorHAnsi"/>
          <w:sz w:val="24"/>
          <w:szCs w:val="24"/>
          <w:u w:val="single"/>
        </w:rPr>
      </w:pPr>
    </w:p>
    <w:p w14:paraId="3E10FF05"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2D143B4F"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7C340D07" w14:textId="77777777" w:rsidR="00B12CF9" w:rsidRPr="000205E7" w:rsidRDefault="006F68F3" w:rsidP="00B12CF9">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73E4C2BF" w14:textId="77777777" w:rsidR="00B12CF9" w:rsidRPr="000205E7"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6F68F3">
        <w:rPr>
          <w:rFonts w:asciiTheme="minorHAnsi" w:hAnsiTheme="minorHAnsi" w:cstheme="minorHAnsi"/>
          <w:sz w:val="24"/>
          <w:szCs w:val="24"/>
        </w:rPr>
        <w:t>02</w:t>
      </w:r>
      <w:r w:rsidRPr="000205E7">
        <w:rPr>
          <w:rFonts w:asciiTheme="minorHAnsi" w:hAnsiTheme="minorHAnsi" w:cstheme="minorHAnsi"/>
          <w:sz w:val="24"/>
          <w:szCs w:val="24"/>
        </w:rPr>
        <w:t xml:space="preserve"> </w:t>
      </w:r>
    </w:p>
    <w:p w14:paraId="2A10074F" w14:textId="77777777" w:rsidR="00B12CF9" w:rsidRDefault="00B12CF9" w:rsidP="00B12CF9">
      <w:pPr>
        <w:pStyle w:val="NoSpacing"/>
        <w:ind w:firstLine="720"/>
        <w:rPr>
          <w:rFonts w:asciiTheme="minorHAnsi" w:hAnsiTheme="minorHAnsi" w:cstheme="minorHAnsi"/>
          <w:sz w:val="24"/>
          <w:szCs w:val="24"/>
        </w:rPr>
      </w:pPr>
    </w:p>
    <w:p w14:paraId="43F52728" w14:textId="77777777" w:rsidR="00B12CF9" w:rsidRPr="000205E7" w:rsidRDefault="00B12CF9" w:rsidP="00B12CF9">
      <w:pPr>
        <w:pStyle w:val="NoSpacing"/>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2EEC11FC" w14:textId="77777777" w:rsidR="00B12CF9" w:rsidRPr="00CB57F9" w:rsidRDefault="00B12CF9" w:rsidP="00B12CF9">
      <w:pPr>
        <w:pStyle w:val="NoSpacing"/>
        <w:ind w:left="1440"/>
        <w:rPr>
          <w:rFonts w:asciiTheme="minorHAnsi" w:hAnsiTheme="minorHAnsi" w:cstheme="minorHAnsi"/>
          <w:sz w:val="24"/>
          <w:szCs w:val="24"/>
        </w:rPr>
      </w:pPr>
      <w:r w:rsidRPr="00CB57F9">
        <w:rPr>
          <w:rFonts w:asciiTheme="minorHAnsi" w:hAnsiTheme="minorHAnsi" w:cstheme="minorHAnsi"/>
          <w:sz w:val="24"/>
          <w:szCs w:val="24"/>
        </w:rPr>
        <w:tab/>
      </w:r>
      <w:r w:rsidRPr="00CB57F9">
        <w:rPr>
          <w:rFonts w:asciiTheme="minorHAnsi" w:hAnsiTheme="minorHAnsi" w:cstheme="minorHAnsi"/>
          <w:sz w:val="24"/>
          <w:szCs w:val="24"/>
          <w:u w:val="single"/>
        </w:rPr>
        <w:t>Solicitation Coordinator</w:t>
      </w:r>
      <w:r>
        <w:rPr>
          <w:rFonts w:asciiTheme="minorHAnsi" w:hAnsiTheme="minorHAnsi" w:cstheme="minorHAnsi"/>
          <w:sz w:val="24"/>
          <w:szCs w:val="24"/>
        </w:rPr>
        <w:t>:</w:t>
      </w:r>
    </w:p>
    <w:p w14:paraId="317AABF7" w14:textId="08719C91"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4C1814">
        <w:rPr>
          <w:rFonts w:asciiTheme="minorHAnsi" w:hAnsiTheme="minorHAnsi" w:cstheme="minorHAnsi"/>
          <w:sz w:val="24"/>
          <w:szCs w:val="24"/>
        </w:rPr>
        <w:t>BJ Roberts</w:t>
      </w:r>
    </w:p>
    <w:p w14:paraId="4A23FE25" w14:textId="4C0B78BA"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4C1814">
        <w:rPr>
          <w:rFonts w:asciiTheme="minorHAnsi" w:hAnsiTheme="minorHAnsi" w:cstheme="minorHAnsi"/>
          <w:sz w:val="24"/>
          <w:szCs w:val="24"/>
        </w:rPr>
        <w:t>Strategic Sourcing Manager</w:t>
      </w:r>
    </w:p>
    <w:p w14:paraId="61D99BFE" w14:textId="406FE50E" w:rsidR="00B12CF9" w:rsidRDefault="00B12CF9" w:rsidP="00B12CF9">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Email:</w:t>
      </w:r>
      <w:r w:rsidR="004C1814">
        <w:rPr>
          <w:rFonts w:asciiTheme="minorHAnsi" w:hAnsiTheme="minorHAnsi" w:cstheme="minorHAnsi"/>
          <w:sz w:val="24"/>
          <w:szCs w:val="24"/>
        </w:rPr>
        <w:t xml:space="preserve"> </w:t>
      </w:r>
      <w:hyperlink r:id="rId10" w:history="1">
        <w:r w:rsidR="004C1814" w:rsidRPr="00E74511">
          <w:rPr>
            <w:rStyle w:val="Hyperlink"/>
            <w:rFonts w:asciiTheme="minorHAnsi" w:hAnsiTheme="minorHAnsi" w:cstheme="minorHAnsi"/>
            <w:sz w:val="24"/>
            <w:szCs w:val="24"/>
          </w:rPr>
          <w:t>broberts@tennessee.edu</w:t>
        </w:r>
      </w:hyperlink>
    </w:p>
    <w:p w14:paraId="74425535" w14:textId="320D467C" w:rsidR="00B12CF9" w:rsidRPr="000205E7" w:rsidRDefault="00B12CF9" w:rsidP="00B12CF9">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Pr="000205E7">
        <w:rPr>
          <w:rFonts w:asciiTheme="minorHAnsi" w:hAnsiTheme="minorHAnsi" w:cstheme="minorHAnsi"/>
          <w:sz w:val="24"/>
          <w:szCs w:val="24"/>
        </w:rPr>
        <w:t xml:space="preserve"> </w:t>
      </w:r>
      <w:r w:rsidR="004C1814">
        <w:rPr>
          <w:rFonts w:asciiTheme="minorHAnsi" w:hAnsiTheme="minorHAnsi" w:cstheme="minorHAnsi"/>
          <w:sz w:val="24"/>
          <w:szCs w:val="24"/>
        </w:rPr>
        <w:t>865-974-2569</w:t>
      </w:r>
    </w:p>
    <w:p w14:paraId="2FCBCEB6" w14:textId="77777777" w:rsidR="00B12CF9" w:rsidRPr="000205E7" w:rsidRDefault="00B12CF9" w:rsidP="00B12CF9">
      <w:pPr>
        <w:pStyle w:val="NoSpacing"/>
        <w:ind w:left="2160"/>
        <w:rPr>
          <w:rFonts w:asciiTheme="minorHAnsi" w:hAnsiTheme="minorHAnsi" w:cstheme="minorHAnsi"/>
          <w:sz w:val="24"/>
          <w:szCs w:val="24"/>
        </w:rPr>
      </w:pPr>
    </w:p>
    <w:p w14:paraId="38C5EAB8" w14:textId="77777777" w:rsidR="00B12CF9" w:rsidRPr="000205E7" w:rsidRDefault="00B12CF9" w:rsidP="00B12CF9">
      <w:pPr>
        <w:pStyle w:val="NoSpacing"/>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1BCA5D14" w14:textId="77777777" w:rsidR="00B12CF9" w:rsidRPr="000205E7" w:rsidRDefault="00B12CF9" w:rsidP="00B12CF9">
      <w:pPr>
        <w:pStyle w:val="NoSpacing"/>
        <w:ind w:left="360"/>
        <w:rPr>
          <w:rFonts w:asciiTheme="minorHAnsi" w:hAnsiTheme="minorHAnsi" w:cstheme="minorHAnsi"/>
          <w:sz w:val="24"/>
          <w:szCs w:val="24"/>
        </w:rPr>
      </w:pPr>
    </w:p>
    <w:p w14:paraId="3D617FA3" w14:textId="77777777" w:rsidR="00B12CF9" w:rsidRPr="000205E7" w:rsidRDefault="00B12CF9" w:rsidP="00B12CF9">
      <w:pPr>
        <w:pStyle w:val="NoSpacing"/>
        <w:ind w:left="720"/>
        <w:rPr>
          <w:rFonts w:asciiTheme="minorHAnsi" w:hAnsiTheme="minorHAnsi" w:cstheme="minorHAnsi"/>
          <w:sz w:val="24"/>
          <w:szCs w:val="24"/>
        </w:rPr>
      </w:pPr>
    </w:p>
    <w:p w14:paraId="10CF85FC" w14:textId="3F7B31A4" w:rsidR="00B12CF9" w:rsidRDefault="00B12CF9" w:rsidP="002B5FC6">
      <w:pPr>
        <w:numPr>
          <w:ilvl w:val="0"/>
          <w:numId w:val="1"/>
        </w:numPr>
        <w:ind w:left="360"/>
      </w:pPr>
      <w:r w:rsidRPr="00EF46A2">
        <w:rPr>
          <w:rFonts w:asciiTheme="minorHAnsi" w:hAnsiTheme="minorHAnsi" w:cstheme="minorHAnsi"/>
          <w:b/>
          <w:sz w:val="24"/>
          <w:szCs w:val="24"/>
          <w:u w:val="single"/>
        </w:rPr>
        <w:t>Terms and Conditions</w:t>
      </w:r>
      <w:r>
        <w:rPr>
          <w:rFonts w:asciiTheme="minorHAnsi" w:hAnsiTheme="minorHAnsi" w:cstheme="minorHAnsi"/>
          <w:sz w:val="24"/>
          <w:szCs w:val="24"/>
        </w:rPr>
        <w:t xml:space="preserve">: By responding to this solicitation, the respondent agrees to the University’s purchasing terms and conditions, which are attached in Schedule </w:t>
      </w:r>
      <w:r w:rsidR="00A94B73">
        <w:rPr>
          <w:rFonts w:asciiTheme="minorHAnsi" w:hAnsiTheme="minorHAnsi" w:cstheme="minorHAnsi"/>
          <w:sz w:val="24"/>
          <w:szCs w:val="24"/>
        </w:rPr>
        <w:t>1</w:t>
      </w:r>
      <w:r>
        <w:rPr>
          <w:rFonts w:asciiTheme="minorHAnsi" w:hAnsiTheme="minorHAnsi" w:cstheme="minorHAnsi"/>
          <w:sz w:val="24"/>
          <w:szCs w:val="24"/>
        </w:rPr>
        <w:t>.</w:t>
      </w:r>
    </w:p>
    <w:p w14:paraId="0453D5BD" w14:textId="5D6E933D" w:rsidR="00B12CF9" w:rsidRDefault="00B12CF9" w:rsidP="00B12CF9">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4C1814">
        <w:rPr>
          <w:rFonts w:asciiTheme="minorHAnsi" w:hAnsiTheme="minorHAnsi" w:cstheme="minorHAnsi"/>
          <w:sz w:val="24"/>
          <w:szCs w:val="24"/>
        </w:rPr>
        <w:t>one r</w:t>
      </w:r>
      <w:r>
        <w:rPr>
          <w:rFonts w:asciiTheme="minorHAnsi" w:hAnsiTheme="minorHAnsi" w:cstheme="minorHAnsi"/>
          <w:sz w:val="24"/>
          <w:szCs w:val="24"/>
        </w:rPr>
        <w:t>espondent, unless the University deems it to be in its best interest to award to more</w:t>
      </w:r>
      <w:r w:rsidR="004C1814">
        <w:rPr>
          <w:rFonts w:asciiTheme="minorHAnsi" w:hAnsiTheme="minorHAnsi" w:cstheme="minorHAnsi"/>
          <w:sz w:val="24"/>
          <w:szCs w:val="24"/>
        </w:rPr>
        <w:t xml:space="preserve"> </w:t>
      </w:r>
      <w:r>
        <w:rPr>
          <w:rFonts w:asciiTheme="minorHAnsi" w:hAnsiTheme="minorHAnsi" w:cstheme="minorHAnsi"/>
          <w:sz w:val="24"/>
          <w:szCs w:val="24"/>
        </w:rPr>
        <w:t xml:space="preserve">respondents.  The University retains sole discretion over this decision. </w:t>
      </w:r>
      <w:r w:rsidR="00383F2C">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1F3B6830" w14:textId="77777777" w:rsidR="00B12CF9" w:rsidRPr="002A50A1" w:rsidRDefault="00B12CF9" w:rsidP="00B12CF9">
      <w:pPr>
        <w:pStyle w:val="NoSpacing"/>
        <w:ind w:left="360"/>
        <w:rPr>
          <w:rFonts w:asciiTheme="minorHAnsi" w:hAnsiTheme="minorHAnsi" w:cstheme="minorHAnsi"/>
          <w:sz w:val="24"/>
          <w:szCs w:val="24"/>
        </w:rPr>
      </w:pPr>
    </w:p>
    <w:p w14:paraId="4518B993" w14:textId="77777777" w:rsidR="00B12CF9" w:rsidRDefault="00B12CF9" w:rsidP="00C04F05">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A</w:t>
      </w:r>
      <w:r w:rsidRPr="00B71C3E">
        <w:rPr>
          <w:rFonts w:asciiTheme="minorHAnsi" w:hAnsiTheme="minorHAnsi" w:cstheme="minorHAnsi"/>
          <w:sz w:val="24"/>
          <w:szCs w:val="24"/>
        </w:rPr>
        <w:t>ny organization (third-party entity) may purchase under this agreement</w:t>
      </w:r>
      <w:r>
        <w:rPr>
          <w:rFonts w:asciiTheme="minorHAnsi" w:hAnsiTheme="minorHAnsi" w:cstheme="minorHAnsi"/>
          <w:sz w:val="24"/>
          <w:szCs w:val="24"/>
        </w:rPr>
        <w:t>, including other universities, local government agencies, and state-government agencies (located in any state within the United States)</w:t>
      </w:r>
      <w:r w:rsidRPr="00B71C3E">
        <w:rPr>
          <w:rFonts w:asciiTheme="minorHAnsi" w:hAnsiTheme="minorHAnsi" w:cstheme="minorHAnsi"/>
          <w:sz w:val="24"/>
          <w:szCs w:val="24"/>
        </w:rPr>
        <w:t xml:space="preserve">.  The third-party entity may negotiate its own terms with the </w:t>
      </w:r>
      <w:proofErr w:type="gramStart"/>
      <w:r w:rsidRPr="00B71C3E">
        <w:rPr>
          <w:rFonts w:asciiTheme="minorHAnsi" w:hAnsiTheme="minorHAnsi" w:cstheme="minorHAnsi"/>
          <w:sz w:val="24"/>
          <w:szCs w:val="24"/>
        </w:rPr>
        <w:t>supplier</w:t>
      </w:r>
      <w:proofErr w:type="gramEnd"/>
      <w:r w:rsidRPr="00281BF7" w:rsidDel="000936F2">
        <w:rPr>
          <w:rFonts w:asciiTheme="minorHAnsi" w:hAnsiTheme="minorHAnsi" w:cstheme="minorHAnsi"/>
          <w:sz w:val="24"/>
          <w:szCs w:val="24"/>
        </w:rPr>
        <w:t xml:space="preserve"> </w:t>
      </w:r>
    </w:p>
    <w:p w14:paraId="2F7F95D2" w14:textId="77777777" w:rsidR="004C1814" w:rsidRPr="00C04F05" w:rsidRDefault="004C1814" w:rsidP="002B5FC6">
      <w:pPr>
        <w:pStyle w:val="NoSpacing"/>
        <w:rPr>
          <w:rFonts w:asciiTheme="minorHAnsi" w:hAnsiTheme="minorHAnsi" w:cstheme="minorHAnsi"/>
          <w:sz w:val="24"/>
          <w:szCs w:val="24"/>
        </w:rPr>
      </w:pPr>
    </w:p>
    <w:p w14:paraId="20FE5E71" w14:textId="5548CB86" w:rsidR="00B12CF9" w:rsidRPr="002B5FC6" w:rsidRDefault="004C1814" w:rsidP="002B5FC6">
      <w:pPr>
        <w:pStyle w:val="NoSpacing"/>
        <w:numPr>
          <w:ilvl w:val="0"/>
          <w:numId w:val="1"/>
        </w:numPr>
        <w:ind w:left="360"/>
        <w:rPr>
          <w:sz w:val="24"/>
          <w:szCs w:val="24"/>
        </w:rPr>
      </w:pPr>
      <w:r w:rsidRPr="004C1814">
        <w:rPr>
          <w:rFonts w:asciiTheme="minorHAnsi" w:hAnsiTheme="minorHAnsi" w:cstheme="minorHAnsi"/>
          <w:b/>
          <w:sz w:val="24"/>
          <w:szCs w:val="24"/>
          <w:u w:val="single"/>
        </w:rPr>
        <w:t>N</w:t>
      </w:r>
      <w:r w:rsidRPr="002B5FC6">
        <w:rPr>
          <w:b/>
          <w:sz w:val="24"/>
          <w:szCs w:val="24"/>
          <w:u w:val="single"/>
        </w:rPr>
        <w:t xml:space="preserve">o </w:t>
      </w:r>
      <w:r w:rsidR="00B12CF9" w:rsidRPr="002B5FC6">
        <w:rPr>
          <w:b/>
          <w:sz w:val="24"/>
          <w:szCs w:val="24"/>
          <w:u w:val="single"/>
        </w:rPr>
        <w:t>Pre-Bid Conference or Site Visit</w:t>
      </w:r>
      <w:r w:rsidR="00B12CF9" w:rsidRPr="002B5FC6">
        <w:rPr>
          <w:sz w:val="24"/>
          <w:szCs w:val="24"/>
        </w:rPr>
        <w:t xml:space="preserve">: The University will not hold a pre-bid conference/site visit for this solicitation. </w:t>
      </w:r>
    </w:p>
    <w:p w14:paraId="3D22A76C" w14:textId="77777777" w:rsidR="00DF6426" w:rsidRPr="00892312" w:rsidRDefault="00DF6426" w:rsidP="00B12CF9">
      <w:pPr>
        <w:pStyle w:val="NoSpacing"/>
        <w:ind w:left="360"/>
        <w:rPr>
          <w:rFonts w:asciiTheme="minorHAnsi" w:hAnsiTheme="minorHAnsi" w:cstheme="minorHAnsi"/>
          <w:sz w:val="24"/>
          <w:szCs w:val="24"/>
        </w:rPr>
      </w:pPr>
    </w:p>
    <w:p w14:paraId="757DAF46" w14:textId="77777777" w:rsidR="00B12CF9" w:rsidRPr="00CB7611" w:rsidRDefault="00B12CF9" w:rsidP="00B12CF9">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71BA16D9" w14:textId="77777777" w:rsidR="00B12CF9" w:rsidRDefault="00B12CF9" w:rsidP="00B12CF9">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B12CF9" w14:paraId="27A1D33F" w14:textId="77777777" w:rsidTr="005C0715">
        <w:tc>
          <w:tcPr>
            <w:tcW w:w="4385" w:type="dxa"/>
          </w:tcPr>
          <w:p w14:paraId="0B0B7DF1"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52EB4ACF" w14:textId="4993F758" w:rsidR="00B12CF9" w:rsidRDefault="00D15CF9" w:rsidP="005C0715">
            <w:pPr>
              <w:pStyle w:val="NoSpacing"/>
              <w:rPr>
                <w:rFonts w:asciiTheme="minorHAnsi" w:hAnsiTheme="minorHAnsi" w:cstheme="minorHAnsi"/>
                <w:sz w:val="24"/>
                <w:szCs w:val="24"/>
              </w:rPr>
            </w:pPr>
            <w:r>
              <w:rPr>
                <w:rFonts w:asciiTheme="minorHAnsi" w:hAnsiTheme="minorHAnsi" w:cstheme="minorHAnsi"/>
                <w:sz w:val="24"/>
                <w:szCs w:val="24"/>
              </w:rPr>
              <w:t>April 9, 2024</w:t>
            </w:r>
          </w:p>
        </w:tc>
      </w:tr>
      <w:tr w:rsidR="00B12CF9" w:rsidRPr="00EF46A2" w14:paraId="2FD3F212" w14:textId="77777777" w:rsidTr="005C0715">
        <w:tc>
          <w:tcPr>
            <w:tcW w:w="4385" w:type="dxa"/>
          </w:tcPr>
          <w:p w14:paraId="0631EEE2"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Mandatory Pre-Bid Conference</w:t>
            </w:r>
          </w:p>
        </w:tc>
        <w:tc>
          <w:tcPr>
            <w:tcW w:w="4245" w:type="dxa"/>
          </w:tcPr>
          <w:p w14:paraId="44A60328" w14:textId="1A1DA64A" w:rsidR="00B12CF9" w:rsidRPr="00EF46A2" w:rsidRDefault="00D15CF9" w:rsidP="005C0715">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r w:rsidR="00B12CF9" w14:paraId="0E5B67D5" w14:textId="77777777" w:rsidTr="005C0715">
        <w:tc>
          <w:tcPr>
            <w:tcW w:w="4385" w:type="dxa"/>
          </w:tcPr>
          <w:p w14:paraId="70FA5C86"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4FBC8587" w14:textId="5A137963" w:rsidR="00B12CF9" w:rsidRDefault="00D15CF9" w:rsidP="005C0715">
            <w:pPr>
              <w:pStyle w:val="NoSpacing"/>
              <w:rPr>
                <w:rFonts w:asciiTheme="minorHAnsi" w:hAnsiTheme="minorHAnsi" w:cstheme="minorHAnsi"/>
                <w:sz w:val="24"/>
                <w:szCs w:val="24"/>
              </w:rPr>
            </w:pPr>
            <w:r>
              <w:rPr>
                <w:rFonts w:asciiTheme="minorHAnsi" w:hAnsiTheme="minorHAnsi" w:cstheme="minorHAnsi"/>
                <w:sz w:val="24"/>
                <w:szCs w:val="24"/>
              </w:rPr>
              <w:t>April 19, 2024</w:t>
            </w:r>
          </w:p>
        </w:tc>
      </w:tr>
      <w:tr w:rsidR="00B12CF9" w14:paraId="6C94EE49" w14:textId="77777777" w:rsidTr="005C0715">
        <w:tc>
          <w:tcPr>
            <w:tcW w:w="4385" w:type="dxa"/>
          </w:tcPr>
          <w:p w14:paraId="63AB1D69" w14:textId="77777777" w:rsidR="00B12CF9" w:rsidRDefault="00B12CF9" w:rsidP="005C0715">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3694267A" w14:textId="7855224E" w:rsidR="00B12CF9" w:rsidRDefault="00D15CF9" w:rsidP="005C0715">
            <w:pPr>
              <w:pStyle w:val="NoSpacing"/>
              <w:rPr>
                <w:rFonts w:asciiTheme="minorHAnsi" w:hAnsiTheme="minorHAnsi" w:cstheme="minorHAnsi"/>
                <w:sz w:val="24"/>
                <w:szCs w:val="24"/>
              </w:rPr>
            </w:pPr>
            <w:r>
              <w:rPr>
                <w:rFonts w:asciiTheme="minorHAnsi" w:hAnsiTheme="minorHAnsi" w:cstheme="minorHAnsi"/>
                <w:sz w:val="24"/>
                <w:szCs w:val="24"/>
              </w:rPr>
              <w:t>April 23, 2024</w:t>
            </w:r>
          </w:p>
        </w:tc>
      </w:tr>
      <w:tr w:rsidR="00B12CF9" w:rsidRPr="00EF46A2" w14:paraId="5C0FFF33" w14:textId="77777777" w:rsidTr="007640CD">
        <w:trPr>
          <w:trHeight w:val="107"/>
        </w:trPr>
        <w:tc>
          <w:tcPr>
            <w:tcW w:w="4385" w:type="dxa"/>
          </w:tcPr>
          <w:p w14:paraId="288649CD" w14:textId="77777777" w:rsidR="00B12CF9" w:rsidRPr="00EF46A2" w:rsidRDefault="00B12CF9" w:rsidP="005C0715">
            <w:pPr>
              <w:pStyle w:val="NoSpacing"/>
              <w:rPr>
                <w:rFonts w:asciiTheme="minorHAnsi" w:hAnsiTheme="minorHAnsi" w:cstheme="minorHAnsi"/>
                <w:color w:val="FF0000"/>
                <w:sz w:val="24"/>
                <w:szCs w:val="24"/>
              </w:rPr>
            </w:pPr>
            <w:r w:rsidRPr="007640CD">
              <w:rPr>
                <w:rFonts w:asciiTheme="minorHAnsi" w:hAnsiTheme="minorHAnsi" w:cstheme="minorHAnsi"/>
                <w:color w:val="000000" w:themeColor="text1"/>
                <w:sz w:val="24"/>
                <w:szCs w:val="24"/>
              </w:rPr>
              <w:t>Site visit</w:t>
            </w:r>
          </w:p>
        </w:tc>
        <w:tc>
          <w:tcPr>
            <w:tcW w:w="4245" w:type="dxa"/>
          </w:tcPr>
          <w:p w14:paraId="42CA0AE0" w14:textId="50BDBB5C" w:rsidR="00B12CF9" w:rsidRPr="00EF46A2" w:rsidRDefault="00D15CF9" w:rsidP="005C0715">
            <w:pPr>
              <w:pStyle w:val="NoSpacing"/>
              <w:rPr>
                <w:rFonts w:asciiTheme="minorHAnsi" w:hAnsiTheme="minorHAnsi" w:cstheme="minorHAnsi"/>
                <w:color w:val="FF0000"/>
                <w:sz w:val="24"/>
                <w:szCs w:val="24"/>
              </w:rPr>
            </w:pPr>
            <w:r>
              <w:rPr>
                <w:rFonts w:asciiTheme="minorHAnsi" w:hAnsiTheme="minorHAnsi" w:cstheme="minorHAnsi"/>
                <w:color w:val="FF0000"/>
                <w:sz w:val="24"/>
                <w:szCs w:val="24"/>
              </w:rPr>
              <w:t>NA</w:t>
            </w:r>
          </w:p>
        </w:tc>
      </w:tr>
    </w:tbl>
    <w:p w14:paraId="6CBE40D5" w14:textId="77777777" w:rsidR="00B12CF9" w:rsidRDefault="00B12CF9" w:rsidP="00B12CF9">
      <w:pPr>
        <w:pStyle w:val="NoSpacing"/>
        <w:rPr>
          <w:rFonts w:asciiTheme="minorHAnsi" w:hAnsiTheme="minorHAnsi" w:cstheme="minorHAnsi"/>
          <w:b/>
          <w:sz w:val="24"/>
          <w:szCs w:val="24"/>
        </w:rPr>
      </w:pPr>
    </w:p>
    <w:p w14:paraId="59CA2E81" w14:textId="77777777" w:rsidR="00B12CF9" w:rsidRPr="00B52477" w:rsidRDefault="007640CD" w:rsidP="007640CD">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 xml:space="preserve">Instructions: </w:t>
      </w:r>
      <w:r>
        <w:rPr>
          <w:sz w:val="24"/>
        </w:rPr>
        <w:t xml:space="preserve">Respondent </w:t>
      </w:r>
      <w:r w:rsidRPr="00CC52FC">
        <w:rPr>
          <w:sz w:val="24"/>
        </w:rPr>
        <w:t>must submit</w:t>
      </w:r>
      <w:r>
        <w:rPr>
          <w:sz w:val="24"/>
        </w:rPr>
        <w:t xml:space="preserve"> their bid</w:t>
      </w:r>
      <w:r w:rsidRPr="00CC52FC">
        <w:rPr>
          <w:sz w:val="24"/>
        </w:rPr>
        <w:t xml:space="preserve"> electronically through the University’s electronic procurement system</w:t>
      </w:r>
      <w:r>
        <w:rPr>
          <w:sz w:val="24"/>
        </w:rPr>
        <w:t>.</w:t>
      </w:r>
    </w:p>
    <w:p w14:paraId="3C66DFE8"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 xml:space="preserve">Respondent’s proposed cost must remain firm for a period of at least 120 days from the </w:t>
      </w:r>
      <w:r w:rsidR="00E33495">
        <w:rPr>
          <w:sz w:val="24"/>
        </w:rPr>
        <w:t>submission</w:t>
      </w:r>
      <w:r w:rsidR="00B52477">
        <w:rPr>
          <w:sz w:val="24"/>
        </w:rPr>
        <w:t xml:space="preserve"> deadline.</w:t>
      </w:r>
    </w:p>
    <w:p w14:paraId="51A8A757" w14:textId="77777777" w:rsidR="007640CD" w:rsidRPr="00B52477" w:rsidRDefault="007640CD" w:rsidP="007640CD">
      <w:pPr>
        <w:pStyle w:val="NoSpacing"/>
        <w:numPr>
          <w:ilvl w:val="1"/>
          <w:numId w:val="1"/>
        </w:numPr>
        <w:rPr>
          <w:rFonts w:asciiTheme="minorHAnsi" w:hAnsiTheme="minorHAnsi" w:cstheme="minorHAnsi"/>
          <w:b/>
          <w:sz w:val="24"/>
          <w:szCs w:val="24"/>
        </w:rPr>
      </w:pPr>
      <w:r w:rsidRPr="00576B7D">
        <w:rPr>
          <w:sz w:val="24"/>
        </w:rPr>
        <w:t>The University will not accept late bids</w:t>
      </w:r>
      <w:r>
        <w:rPr>
          <w:sz w:val="24"/>
        </w:rPr>
        <w:t>.</w:t>
      </w:r>
    </w:p>
    <w:p w14:paraId="4E288933" w14:textId="77777777" w:rsidR="007640CD" w:rsidRPr="00B52477" w:rsidRDefault="007640CD" w:rsidP="00B52477">
      <w:pPr>
        <w:pStyle w:val="NoSpacing"/>
        <w:ind w:left="1440"/>
        <w:rPr>
          <w:rFonts w:asciiTheme="minorHAnsi" w:hAnsiTheme="minorHAnsi" w:cstheme="minorHAnsi"/>
          <w:b/>
          <w:sz w:val="24"/>
          <w:szCs w:val="24"/>
        </w:rPr>
      </w:pPr>
    </w:p>
    <w:p w14:paraId="04244625" w14:textId="77777777" w:rsidR="007640CD" w:rsidRPr="00B52477" w:rsidRDefault="007640CD" w:rsidP="007640CD">
      <w:pPr>
        <w:pStyle w:val="NoSpacing"/>
        <w:numPr>
          <w:ilvl w:val="0"/>
          <w:numId w:val="1"/>
        </w:numPr>
        <w:rPr>
          <w:rFonts w:asciiTheme="minorHAnsi" w:hAnsiTheme="minorHAnsi" w:cstheme="minorHAnsi"/>
          <w:b/>
          <w:sz w:val="24"/>
          <w:szCs w:val="24"/>
        </w:rPr>
      </w:pPr>
      <w:r w:rsidRPr="00DD7CBF">
        <w:rPr>
          <w:b/>
          <w:sz w:val="24"/>
          <w:u w:val="single"/>
        </w:rPr>
        <w:t xml:space="preserve">Withdrawal of </w:t>
      </w:r>
      <w:r>
        <w:rPr>
          <w:b/>
          <w:sz w:val="24"/>
          <w:u w:val="single"/>
        </w:rPr>
        <w:t>Bid</w:t>
      </w:r>
      <w:r>
        <w:rPr>
          <w:sz w:val="24"/>
        </w:rPr>
        <w:t xml:space="preserve">: </w:t>
      </w:r>
      <w:r w:rsidR="00780824">
        <w:rPr>
          <w:sz w:val="24"/>
        </w:rPr>
        <w:t xml:space="preserve"> </w:t>
      </w:r>
      <w:bookmarkStart w:id="0" w:name="_Hlk48811744"/>
      <w:r w:rsidR="00780824">
        <w:rPr>
          <w:sz w:val="24"/>
        </w:rPr>
        <w:t>Respondent may withdraw its</w:t>
      </w:r>
      <w:r w:rsidRPr="00DD7CBF">
        <w:rPr>
          <w:sz w:val="24"/>
        </w:rPr>
        <w:t xml:space="preserve"> submitted </w:t>
      </w:r>
      <w:r>
        <w:rPr>
          <w:sz w:val="24"/>
        </w:rPr>
        <w:t xml:space="preserve">bid </w:t>
      </w:r>
      <w:r w:rsidRPr="00DD7CBF">
        <w:rPr>
          <w:sz w:val="24"/>
        </w:rPr>
        <w:t>by sending a written request</w:t>
      </w:r>
      <w:r w:rsidR="002435FB">
        <w:rPr>
          <w:sz w:val="24"/>
        </w:rPr>
        <w:t xml:space="preserve"> via email</w:t>
      </w:r>
      <w:r w:rsidRPr="00DD7CBF">
        <w:rPr>
          <w:sz w:val="24"/>
        </w:rPr>
        <w:t xml:space="preserve"> to the Solicitation Coordinator before the s</w:t>
      </w:r>
      <w:r>
        <w:rPr>
          <w:sz w:val="24"/>
        </w:rPr>
        <w:t xml:space="preserve">ubmission deadline.  </w:t>
      </w:r>
      <w:bookmarkEnd w:id="0"/>
      <w:r w:rsidR="002435FB">
        <w:rPr>
          <w:sz w:val="24"/>
        </w:rPr>
        <w:t>Respondent may resubmit a bid through the electronic system, if done so before the response deadline</w:t>
      </w:r>
      <w:r>
        <w:rPr>
          <w:sz w:val="24"/>
        </w:rPr>
        <w:t xml:space="preserve">.  </w:t>
      </w:r>
      <w:bookmarkStart w:id="1" w:name="_Hlk48811695"/>
      <w:r w:rsidR="00C84550">
        <w:rPr>
          <w:sz w:val="24"/>
        </w:rPr>
        <w:t>The University will not consider w</w:t>
      </w:r>
      <w:r w:rsidRPr="00DD7CBF">
        <w:rPr>
          <w:sz w:val="24"/>
        </w:rPr>
        <w:t>ithdrawals or modifications offered in any other manner</w:t>
      </w:r>
      <w:bookmarkEnd w:id="1"/>
      <w:r>
        <w:rPr>
          <w:sz w:val="24"/>
        </w:rPr>
        <w:t>.</w:t>
      </w:r>
    </w:p>
    <w:p w14:paraId="7EA39A08" w14:textId="77777777" w:rsidR="007640CD" w:rsidRPr="00B52477" w:rsidRDefault="007640CD" w:rsidP="00B52477">
      <w:pPr>
        <w:pStyle w:val="NoSpacing"/>
        <w:ind w:left="720"/>
        <w:rPr>
          <w:rFonts w:asciiTheme="minorHAnsi" w:hAnsiTheme="minorHAnsi" w:cstheme="minorHAnsi"/>
          <w:b/>
          <w:sz w:val="24"/>
          <w:szCs w:val="24"/>
        </w:rPr>
      </w:pPr>
    </w:p>
    <w:p w14:paraId="655925A2" w14:textId="77777777" w:rsidR="007640CD" w:rsidRDefault="007640CD" w:rsidP="00B52477">
      <w:pPr>
        <w:pStyle w:val="NoSpacing"/>
        <w:numPr>
          <w:ilvl w:val="0"/>
          <w:numId w:val="1"/>
        </w:numPr>
        <w:rPr>
          <w:rFonts w:asciiTheme="minorHAnsi" w:hAnsiTheme="minorHAnsi" w:cstheme="minorHAnsi"/>
          <w:b/>
          <w:sz w:val="24"/>
          <w:szCs w:val="24"/>
        </w:rPr>
      </w:pPr>
      <w:r>
        <w:rPr>
          <w:b/>
          <w:sz w:val="24"/>
          <w:u w:val="single"/>
        </w:rPr>
        <w:t>Questions</w:t>
      </w:r>
      <w:r w:rsidRPr="00B52477">
        <w:rPr>
          <w:rFonts w:asciiTheme="minorHAnsi" w:hAnsiTheme="minorHAnsi" w:cstheme="minorHAnsi"/>
          <w:b/>
          <w:sz w:val="24"/>
          <w:szCs w:val="24"/>
        </w:rPr>
        <w:t>:</w:t>
      </w:r>
      <w:r>
        <w:rPr>
          <w:rFonts w:asciiTheme="minorHAnsi" w:hAnsiTheme="minorHAnsi" w:cstheme="minorHAnsi"/>
          <w:b/>
          <w:sz w:val="24"/>
          <w:szCs w:val="24"/>
        </w:rPr>
        <w:t xml:space="preserve"> </w:t>
      </w:r>
      <w:r>
        <w:rPr>
          <w:sz w:val="24"/>
        </w:rPr>
        <w:t>R</w:t>
      </w:r>
      <w:r w:rsidRPr="007C22EE">
        <w:rPr>
          <w:sz w:val="24"/>
        </w:rPr>
        <w:t>espondents may ask the Office of Procurement Services questions in writing via email to the email address listed above in the “</w:t>
      </w:r>
      <w:r>
        <w:rPr>
          <w:sz w:val="24"/>
        </w:rPr>
        <w:t>Communications</w:t>
      </w:r>
      <w:r w:rsidRPr="007C22EE">
        <w:rPr>
          <w:sz w:val="24"/>
        </w:rPr>
        <w:t>” subsection</w:t>
      </w:r>
      <w:r>
        <w:rPr>
          <w:sz w:val="24"/>
        </w:rPr>
        <w:t xml:space="preserve"> prior to the submission deadline.  </w:t>
      </w:r>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r>
        <w:rPr>
          <w:sz w:val="24"/>
        </w:rPr>
        <w:t xml:space="preserve">.  </w:t>
      </w:r>
      <w:r w:rsidRPr="007C22EE">
        <w:rPr>
          <w:sz w:val="24"/>
        </w:rPr>
        <w:t>Respondent understands that it must not rely on verbal communications with the University</w:t>
      </w:r>
      <w:r>
        <w:rPr>
          <w:sz w:val="24"/>
        </w:rPr>
        <w:t>.</w:t>
      </w:r>
    </w:p>
    <w:p w14:paraId="28059417" w14:textId="77777777" w:rsidR="00B12CF9" w:rsidRDefault="00B12CF9" w:rsidP="00B12CF9">
      <w:pPr>
        <w:pStyle w:val="NoSpacing"/>
        <w:rPr>
          <w:rFonts w:asciiTheme="minorHAnsi" w:hAnsiTheme="minorHAnsi" w:cstheme="minorHAnsi"/>
          <w:b/>
          <w:sz w:val="24"/>
          <w:szCs w:val="24"/>
        </w:rPr>
      </w:pPr>
    </w:p>
    <w:p w14:paraId="0A0A6B83" w14:textId="77777777" w:rsidR="004C1814" w:rsidRDefault="004C1814">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790F00D5" w14:textId="3C3CF832" w:rsidR="00B12CF9" w:rsidRPr="00C206EE" w:rsidRDefault="00B12CF9" w:rsidP="00B12CF9">
      <w:pPr>
        <w:pStyle w:val="NoSpacing"/>
        <w:pBdr>
          <w:bottom w:val="single" w:sz="4" w:space="1" w:color="auto"/>
        </w:pBdr>
        <w:rPr>
          <w:rFonts w:asciiTheme="minorHAnsi" w:hAnsiTheme="minorHAnsi" w:cstheme="minorHAnsi"/>
          <w:b/>
          <w:sz w:val="24"/>
          <w:szCs w:val="24"/>
        </w:rPr>
      </w:pPr>
      <w:r>
        <w:rPr>
          <w:rFonts w:asciiTheme="minorHAnsi" w:hAnsiTheme="minorHAnsi" w:cstheme="minorHAnsi"/>
          <w:b/>
          <w:sz w:val="24"/>
          <w:szCs w:val="24"/>
        </w:rPr>
        <w:t>Section B</w:t>
      </w:r>
      <w:r w:rsidRPr="00C206EE">
        <w:rPr>
          <w:rFonts w:asciiTheme="minorHAnsi" w:hAnsiTheme="minorHAnsi" w:cstheme="minorHAnsi"/>
          <w:b/>
          <w:sz w:val="24"/>
          <w:szCs w:val="24"/>
        </w:rPr>
        <w:t xml:space="preserve">: </w:t>
      </w:r>
      <w:r>
        <w:rPr>
          <w:rFonts w:asciiTheme="minorHAnsi" w:hAnsiTheme="minorHAnsi" w:cstheme="minorHAnsi"/>
          <w:b/>
          <w:sz w:val="24"/>
          <w:szCs w:val="24"/>
        </w:rPr>
        <w:t>Mandatory Requirements</w:t>
      </w:r>
    </w:p>
    <w:p w14:paraId="4F9FDA59" w14:textId="77777777" w:rsidR="00B12CF9" w:rsidRDefault="00B12CF9" w:rsidP="00B12CF9">
      <w:pPr>
        <w:pStyle w:val="NoSpacing"/>
        <w:rPr>
          <w:rFonts w:asciiTheme="minorHAnsi" w:hAnsiTheme="minorHAnsi" w:cstheme="minorHAnsi"/>
          <w:sz w:val="24"/>
          <w:szCs w:val="24"/>
        </w:rPr>
      </w:pPr>
    </w:p>
    <w:p w14:paraId="4288629F" w14:textId="77777777" w:rsidR="00B12CF9" w:rsidRDefault="00B12CF9" w:rsidP="00B12CF9">
      <w:pPr>
        <w:rPr>
          <w:rFonts w:asciiTheme="minorHAnsi" w:hAnsiTheme="minorHAnsi" w:cstheme="minorHAnsi"/>
          <w:b/>
          <w:sz w:val="24"/>
          <w:szCs w:val="24"/>
          <w:u w:val="single"/>
        </w:rPr>
      </w:pPr>
      <w:r w:rsidRPr="00E938BB">
        <w:rPr>
          <w:rFonts w:asciiTheme="minorHAnsi" w:hAnsiTheme="minorHAnsi" w:cstheme="minorHAnsi"/>
          <w:sz w:val="24"/>
          <w:szCs w:val="24"/>
        </w:rPr>
        <w:t xml:space="preserve">The University will review the mandatory requirements to determine if they have been met. </w:t>
      </w:r>
    </w:p>
    <w:p w14:paraId="73DE98C3" w14:textId="77777777" w:rsidR="00E36BFF" w:rsidRDefault="00E36BFF"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Pro forma Invoice</w:t>
      </w:r>
      <w:r w:rsidRPr="00C359D3">
        <w:rPr>
          <w:rFonts w:asciiTheme="minorHAnsi" w:hAnsiTheme="minorHAnsi" w:cstheme="minorHAnsi"/>
          <w:b/>
          <w:sz w:val="24"/>
          <w:szCs w:val="24"/>
        </w:rPr>
        <w:t>:</w:t>
      </w:r>
      <w:r w:rsidRPr="00C359D3">
        <w:rPr>
          <w:rFonts w:asciiTheme="minorHAnsi" w:hAnsiTheme="minorHAnsi" w:cstheme="minorHAnsi"/>
          <w:sz w:val="24"/>
          <w:szCs w:val="24"/>
        </w:rPr>
        <w:t xml:space="preserve">  Please include a copy of your pro forma invoice</w:t>
      </w:r>
      <w:r w:rsidR="00C359D3" w:rsidRPr="00C359D3">
        <w:rPr>
          <w:rFonts w:asciiTheme="minorHAnsi" w:hAnsiTheme="minorHAnsi" w:cstheme="minorHAnsi"/>
          <w:sz w:val="24"/>
          <w:szCs w:val="24"/>
        </w:rPr>
        <w:t>.</w:t>
      </w:r>
      <w:r w:rsidR="0090243F">
        <w:rPr>
          <w:rFonts w:asciiTheme="minorHAnsi" w:hAnsiTheme="minorHAnsi" w:cstheme="minorHAnsi"/>
          <w:sz w:val="24"/>
          <w:szCs w:val="24"/>
        </w:rPr>
        <w:t xml:space="preserve">  </w:t>
      </w:r>
      <w:r w:rsidR="006C4832">
        <w:rPr>
          <w:rFonts w:asciiTheme="minorHAnsi" w:hAnsiTheme="minorHAnsi" w:cstheme="minorHAnsi"/>
          <w:sz w:val="24"/>
          <w:szCs w:val="24"/>
        </w:rPr>
        <w:t>Please provide enough sample descriptions in the pro forma invoice for the university to be able to tailor its purchase order or contract to match the descriptions that will appear on your invoices.</w:t>
      </w:r>
    </w:p>
    <w:p w14:paraId="3D9767AD"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Insurance Requirements: </w:t>
      </w:r>
      <w:r w:rsidR="00C359D3">
        <w:rPr>
          <w:rFonts w:asciiTheme="minorHAnsi" w:hAnsiTheme="minorHAnsi" w:cstheme="minorHAnsi"/>
          <w:b/>
          <w:sz w:val="24"/>
          <w:szCs w:val="24"/>
          <w:u w:val="single"/>
        </w:rPr>
        <w:t xml:space="preserve"> </w:t>
      </w:r>
    </w:p>
    <w:bookmarkStart w:id="2" w:name="_MON_1773736060"/>
    <w:bookmarkEnd w:id="2"/>
    <w:p w14:paraId="0A5E9373" w14:textId="0480FBD5" w:rsidR="00091338" w:rsidRPr="00091338" w:rsidRDefault="00896CCC" w:rsidP="00091338">
      <w:pPr>
        <w:pStyle w:val="ListParagraph"/>
        <w:rPr>
          <w:rFonts w:asciiTheme="minorHAnsi" w:hAnsiTheme="minorHAnsi" w:cstheme="minorHAnsi"/>
          <w:b/>
          <w:sz w:val="24"/>
          <w:szCs w:val="24"/>
          <w:u w:val="single"/>
        </w:rPr>
      </w:pPr>
      <w:r w:rsidRPr="002B5FC6">
        <w:rPr>
          <w:rFonts w:asciiTheme="minorHAnsi" w:hAnsiTheme="minorHAnsi" w:cstheme="minorHAnsi"/>
          <w:bCs/>
          <w:noProof/>
          <w:sz w:val="24"/>
          <w:szCs w:val="24"/>
        </w:rPr>
      </w:r>
      <w:r w:rsidR="00896CCC" w:rsidRPr="002B5FC6">
        <w:rPr>
          <w:rFonts w:asciiTheme="minorHAnsi" w:hAnsiTheme="minorHAnsi" w:cstheme="minorHAnsi"/>
          <w:bCs/>
          <w:noProof/>
          <w:sz w:val="24"/>
          <w:szCs w:val="24"/>
        </w:rPr>
        <w:object w:dxaOrig="10220" w:dyaOrig="3840" w14:anchorId="61159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pt;height:192pt;mso-width-percent:0;mso-height-percent:0;mso-width-percent:0;mso-height-percent:0" o:ole="">
            <v:imagedata r:id="rId11" o:title=""/>
          </v:shape>
          <o:OLEObject Type="Embed" ProgID="Word.Document.12" ShapeID="_x0000_i1025" DrawAspect="Content" ObjectID="_1774171053" r:id="rId12">
            <o:FieldCodes>\s</o:FieldCodes>
          </o:OLEObject>
        </w:object>
      </w:r>
    </w:p>
    <w:p w14:paraId="41041824" w14:textId="77777777" w:rsidR="00091338" w:rsidRPr="002B5FC6" w:rsidRDefault="00091338" w:rsidP="00091338">
      <w:pPr>
        <w:tabs>
          <w:tab w:val="left" w:pos="630"/>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2B5FC6">
        <w:rPr>
          <w:rFonts w:asciiTheme="minorHAnsi" w:hAnsiTheme="minorHAnsi" w:cstheme="minorHAnsi"/>
          <w:sz w:val="24"/>
          <w:szCs w:val="24"/>
        </w:rPr>
        <w:t xml:space="preserve">The following language should be included in the Description of Operations section of the COI: </w:t>
      </w:r>
    </w:p>
    <w:p w14:paraId="551EEC94" w14:textId="77777777" w:rsidR="00091338" w:rsidRPr="002B5FC6" w:rsidRDefault="00091338" w:rsidP="00091338">
      <w:pPr>
        <w:tabs>
          <w:tab w:val="left" w:pos="630"/>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p>
    <w:p w14:paraId="1E66CFE5" w14:textId="77777777" w:rsidR="00091338" w:rsidRPr="002B5FC6" w:rsidRDefault="00091338" w:rsidP="00091338">
      <w:pPr>
        <w:tabs>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2B5FC6">
        <w:rPr>
          <w:rFonts w:asciiTheme="minorHAnsi" w:hAnsiTheme="minorHAnsi" w:cstheme="minorHAnsi"/>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and Automobile Liability policies as evidenced on this certificate of insurance.  All insurance policies above are primary and non-contributory to any other insurance available to the Certificate Holder. A thirty-day notice of cancellation is required.</w:t>
      </w:r>
    </w:p>
    <w:p w14:paraId="2B84F33B" w14:textId="77777777" w:rsidR="00091338" w:rsidRDefault="00091338" w:rsidP="002B5FC6">
      <w:pPr>
        <w:pStyle w:val="ListParagraph"/>
        <w:rPr>
          <w:rFonts w:asciiTheme="minorHAnsi" w:hAnsiTheme="minorHAnsi" w:cstheme="minorHAnsi"/>
          <w:b/>
          <w:sz w:val="24"/>
          <w:szCs w:val="24"/>
          <w:u w:val="single"/>
        </w:rPr>
      </w:pPr>
    </w:p>
    <w:p w14:paraId="747134FB" w14:textId="77777777"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Special Delivery Requirements: </w:t>
      </w:r>
      <w:r>
        <w:rPr>
          <w:rFonts w:asciiTheme="minorHAnsi" w:hAnsiTheme="minorHAnsi" w:cstheme="minorHAnsi"/>
          <w:sz w:val="24"/>
          <w:szCs w:val="24"/>
        </w:rPr>
        <w:t>(if applicable)</w:t>
      </w:r>
    </w:p>
    <w:p w14:paraId="360A78EC" w14:textId="77777777" w:rsidR="00B12CF9" w:rsidRPr="00994C6A"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Contractor’s License</w:t>
      </w:r>
      <w:r w:rsidRPr="00E938BB">
        <w:rPr>
          <w:rFonts w:asciiTheme="minorHAnsi" w:hAnsiTheme="minorHAnsi" w:cstheme="minorHAnsi"/>
          <w:sz w:val="24"/>
          <w:szCs w:val="24"/>
        </w:rPr>
        <w:t>:</w:t>
      </w:r>
      <w:r>
        <w:rPr>
          <w:rFonts w:asciiTheme="minorHAnsi" w:hAnsiTheme="minorHAnsi" w:cstheme="minorHAnsi"/>
          <w:sz w:val="24"/>
          <w:szCs w:val="24"/>
        </w:rPr>
        <w:t xml:space="preserve"> (if applica</w:t>
      </w:r>
      <w:r w:rsidRPr="00E938BB">
        <w:rPr>
          <w:rFonts w:asciiTheme="minorHAnsi" w:hAnsiTheme="minorHAnsi" w:cstheme="minorHAnsi"/>
          <w:sz w:val="24"/>
          <w:szCs w:val="24"/>
        </w:rPr>
        <w:t>ble)</w:t>
      </w:r>
      <w:r w:rsidR="00994C6A">
        <w:rPr>
          <w:rFonts w:asciiTheme="minorHAnsi" w:hAnsiTheme="minorHAnsi" w:cstheme="minorHAnsi"/>
          <w:sz w:val="24"/>
          <w:szCs w:val="24"/>
        </w:rPr>
        <w:t xml:space="preserve"> A copy of the valid Tennessee Contractor’s License must be submitted with the bid as a separate document.</w:t>
      </w:r>
    </w:p>
    <w:p w14:paraId="4ACDB366" w14:textId="77777777" w:rsidR="00994C6A" w:rsidRDefault="00994C6A"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 xml:space="preserve">Drug-Free Workplace Affidavit: </w:t>
      </w:r>
      <w:r w:rsidRPr="00994C6A">
        <w:rPr>
          <w:rFonts w:asciiTheme="minorHAnsi" w:hAnsiTheme="minorHAnsi" w:cstheme="minorHAnsi"/>
          <w:sz w:val="24"/>
          <w:szCs w:val="24"/>
        </w:rPr>
        <w:t>Any owner with five or more employees who provides construction services must submit an affidavit confirming the employer has a drug-free workplace program.  This affidavit must be submitted with the bid as a separate attachment.</w:t>
      </w:r>
    </w:p>
    <w:p w14:paraId="50683CB3" w14:textId="7C4BFAF2" w:rsidR="00B12CF9" w:rsidRDefault="00B12CF9" w:rsidP="00B12CF9">
      <w:pPr>
        <w:pStyle w:val="ListParagraph"/>
        <w:numPr>
          <w:ilvl w:val="0"/>
          <w:numId w:val="2"/>
        </w:numPr>
        <w:rPr>
          <w:rFonts w:asciiTheme="minorHAnsi" w:hAnsiTheme="minorHAnsi" w:cstheme="minorHAnsi"/>
          <w:b/>
          <w:sz w:val="24"/>
          <w:szCs w:val="24"/>
          <w:u w:val="single"/>
        </w:rPr>
      </w:pPr>
      <w:r>
        <w:rPr>
          <w:rFonts w:asciiTheme="minorHAnsi" w:hAnsiTheme="minorHAnsi" w:cstheme="minorHAnsi"/>
          <w:b/>
          <w:sz w:val="24"/>
          <w:szCs w:val="24"/>
          <w:u w:val="single"/>
        </w:rPr>
        <w:t>Bond:</w:t>
      </w:r>
      <w:r w:rsidR="00091338">
        <w:rPr>
          <w:rFonts w:asciiTheme="minorHAnsi" w:hAnsiTheme="minorHAnsi" w:cstheme="minorHAnsi"/>
          <w:b/>
          <w:sz w:val="24"/>
          <w:szCs w:val="24"/>
          <w:u w:val="single"/>
        </w:rPr>
        <w:t xml:space="preserve"> </w:t>
      </w:r>
      <w:r w:rsidR="00091338" w:rsidRPr="002B5FC6">
        <w:rPr>
          <w:rFonts w:asciiTheme="minorHAnsi" w:hAnsiTheme="minorHAnsi" w:cstheme="minorHAnsi"/>
          <w:bCs/>
          <w:sz w:val="24"/>
          <w:szCs w:val="24"/>
        </w:rPr>
        <w:t>NA</w:t>
      </w:r>
    </w:p>
    <w:p w14:paraId="49ED8767" w14:textId="77777777" w:rsidR="00B12CF9" w:rsidRPr="00E938BB" w:rsidRDefault="00B12CF9" w:rsidP="00B12CF9">
      <w:pPr>
        <w:pStyle w:val="ListParagraph"/>
        <w:numPr>
          <w:ilvl w:val="0"/>
          <w:numId w:val="2"/>
        </w:numPr>
        <w:rPr>
          <w:rFonts w:asciiTheme="minorHAnsi" w:hAnsiTheme="minorHAnsi" w:cstheme="minorHAnsi"/>
          <w:b/>
          <w:sz w:val="24"/>
          <w:szCs w:val="24"/>
          <w:u w:val="single"/>
        </w:rPr>
      </w:pPr>
      <w:r w:rsidRPr="00F91284">
        <w:rPr>
          <w:rFonts w:asciiTheme="minorHAnsi" w:hAnsiTheme="minorHAnsi" w:cstheme="minorHAnsi"/>
          <w:b/>
          <w:sz w:val="24"/>
          <w:szCs w:val="24"/>
          <w:u w:val="single"/>
        </w:rPr>
        <w:t>Background Checks</w:t>
      </w:r>
      <w:proofErr w:type="gramStart"/>
      <w:r w:rsidRPr="00F91284">
        <w:rPr>
          <w:rFonts w:asciiTheme="minorHAnsi" w:hAnsiTheme="minorHAnsi" w:cstheme="minorHAnsi"/>
          <w:sz w:val="24"/>
          <w:szCs w:val="24"/>
        </w:rPr>
        <w:t xml:space="preserve">: </w:t>
      </w:r>
      <w:r>
        <w:rPr>
          <w:rFonts w:asciiTheme="minorHAnsi" w:hAnsiTheme="minorHAnsi" w:cstheme="minorHAnsi"/>
          <w:sz w:val="24"/>
          <w:szCs w:val="24"/>
        </w:rPr>
        <w:t xml:space="preserve"> (</w:t>
      </w:r>
      <w:proofErr w:type="gramEnd"/>
      <w:r>
        <w:rPr>
          <w:rFonts w:asciiTheme="minorHAnsi" w:hAnsiTheme="minorHAnsi" w:cstheme="minorHAnsi"/>
          <w:sz w:val="24"/>
          <w:szCs w:val="24"/>
        </w:rPr>
        <w:t>if applicable)</w:t>
      </w:r>
      <w:r w:rsidR="00994C6A">
        <w:rPr>
          <w:rFonts w:asciiTheme="minorHAnsi" w:hAnsiTheme="minorHAnsi" w:cstheme="minorHAnsi"/>
          <w:sz w:val="24"/>
          <w:szCs w:val="24"/>
        </w:rPr>
        <w:t xml:space="preserve"> </w:t>
      </w:r>
    </w:p>
    <w:p w14:paraId="3870553B" w14:textId="77777777" w:rsidR="00B12CF9" w:rsidRPr="006F0BEA" w:rsidRDefault="00B12CF9" w:rsidP="00B12CF9">
      <w:pPr>
        <w:pStyle w:val="ListParagraph"/>
        <w:rPr>
          <w:rFonts w:asciiTheme="minorHAnsi" w:hAnsiTheme="minorHAnsi" w:cstheme="minorHAnsi"/>
          <w:b/>
          <w:sz w:val="24"/>
          <w:szCs w:val="24"/>
          <w:u w:val="single"/>
        </w:rPr>
      </w:pPr>
      <w:r w:rsidRPr="00F91284">
        <w:rPr>
          <w:rFonts w:asciiTheme="minorHAnsi" w:hAnsiTheme="minorHAnsi" w:cstheme="minorHAnsi"/>
          <w:sz w:val="24"/>
          <w:szCs w:val="24"/>
        </w:rPr>
        <w:t xml:space="preserve">If the University makes an award to Respondent, Respondent will comply with the following </w:t>
      </w:r>
      <w:r w:rsidRPr="00E938BB">
        <w:rPr>
          <w:rFonts w:asciiTheme="minorHAnsi" w:hAnsiTheme="minorHAnsi" w:cstheme="minorHAnsi"/>
          <w:b/>
          <w:i/>
          <w:sz w:val="24"/>
          <w:szCs w:val="24"/>
        </w:rPr>
        <w:t xml:space="preserve">if applicable </w:t>
      </w:r>
      <w:r w:rsidRPr="00F91284">
        <w:rPr>
          <w:rFonts w:asciiTheme="minorHAnsi" w:hAnsiTheme="minorHAnsi" w:cstheme="minorHAnsi"/>
          <w:sz w:val="24"/>
          <w:szCs w:val="24"/>
        </w:rPr>
        <w:t>to the nature of the service provided by Respondent:</w:t>
      </w:r>
    </w:p>
    <w:p w14:paraId="488297F8" w14:textId="77777777" w:rsidR="00B12CF9" w:rsidRPr="006F0BEA" w:rsidRDefault="00B12CF9" w:rsidP="00B12CF9">
      <w:pPr>
        <w:pStyle w:val="ListParagraph"/>
        <w:ind w:left="1440"/>
        <w:rPr>
          <w:rFonts w:asciiTheme="minorHAnsi" w:hAnsiTheme="minorHAnsi" w:cstheme="minorHAnsi"/>
          <w:b/>
          <w:sz w:val="24"/>
          <w:szCs w:val="24"/>
          <w:u w:val="single"/>
        </w:rPr>
      </w:pPr>
      <w:r w:rsidRPr="006F0BEA">
        <w:rPr>
          <w:sz w:val="24"/>
          <w:szCs w:val="24"/>
        </w:rPr>
        <w:t xml:space="preserve">Every employee that a Supplier places in service on the campus of the University must undergo a criminal background check by the University at the Supplier’s expense.  The minimum requirements for a background check </w:t>
      </w:r>
      <w:proofErr w:type="gramStart"/>
      <w:r w:rsidRPr="006F0BEA">
        <w:rPr>
          <w:sz w:val="24"/>
          <w:szCs w:val="24"/>
        </w:rPr>
        <w:t>are:</w:t>
      </w:r>
      <w:proofErr w:type="gramEnd"/>
      <w:r w:rsidRPr="006F0BEA">
        <w:rPr>
          <w:sz w:val="24"/>
          <w:szCs w:val="24"/>
        </w:rPr>
        <w:t>  a verification of identity, a check of the national sex offender registry and the Tennessee felony offender database, and federal and local criminal records checks.  The University reserves the right to reject any employee of a Supplier based on information obtained through the background check.  With advance approval of the University’s Human Resources department, the University will permit a Supplier to conduct its own background checks.  Background checks performed by a Supplier must meet the University’s minimum requirements listed above, and the Supplier must inform the University about any criminal history for any person who will be working on campus.</w:t>
      </w:r>
    </w:p>
    <w:p w14:paraId="550CCF46" w14:textId="77777777" w:rsidR="00B12CF9" w:rsidRPr="00E938BB" w:rsidRDefault="00B12CF9" w:rsidP="00B12CF9">
      <w:pPr>
        <w:pStyle w:val="ListParagraph"/>
        <w:numPr>
          <w:ilvl w:val="0"/>
          <w:numId w:val="2"/>
        </w:numPr>
        <w:rPr>
          <w:sz w:val="24"/>
          <w:szCs w:val="24"/>
        </w:rPr>
      </w:pPr>
      <w:r w:rsidRPr="00E938BB">
        <w:rPr>
          <w:rFonts w:eastAsiaTheme="minorHAnsi"/>
          <w:b/>
          <w:sz w:val="24"/>
          <w:u w:val="single"/>
        </w:rPr>
        <w:t>Software</w:t>
      </w:r>
      <w:r w:rsidRPr="00E938BB">
        <w:rPr>
          <w:rFonts w:eastAsiaTheme="minorHAnsi"/>
          <w:b/>
          <w:u w:val="single"/>
        </w:rPr>
        <w:t>:</w:t>
      </w:r>
      <w:r>
        <w:rPr>
          <w:rFonts w:eastAsiaTheme="minorHAnsi"/>
        </w:rPr>
        <w:t xml:space="preserve"> (if applicable)</w:t>
      </w:r>
    </w:p>
    <w:p w14:paraId="67788386" w14:textId="77777777" w:rsidR="00506B3E"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155A9661" w14:textId="77777777" w:rsidR="00B12CF9" w:rsidRPr="00506B3E" w:rsidRDefault="00506B3E" w:rsidP="00506B3E">
      <w:pPr>
        <w:pStyle w:val="ListParagraph"/>
        <w:numPr>
          <w:ilvl w:val="1"/>
          <w:numId w:val="2"/>
        </w:numPr>
        <w:spacing w:after="0" w:line="240" w:lineRule="auto"/>
        <w:rPr>
          <w:rFonts w:ascii="Calibri Light" w:eastAsia="Times New Roman" w:hAnsi="Calibri Light" w:cs="Calibri Light"/>
          <w:color w:val="000000"/>
          <w:sz w:val="24"/>
          <w:szCs w:val="24"/>
        </w:rPr>
      </w:pPr>
      <w:proofErr w:type="gramStart"/>
      <w:r w:rsidRPr="00506B3E">
        <w:rPr>
          <w:rFonts w:eastAsia="Times New Roman"/>
          <w:color w:val="000000"/>
          <w:sz w:val="24"/>
          <w:szCs w:val="24"/>
        </w:rPr>
        <w:t>On-premise</w:t>
      </w:r>
      <w:proofErr w:type="gramEnd"/>
      <w:r w:rsidRPr="00506B3E">
        <w:rPr>
          <w:rFonts w:eastAsia="Times New Roman"/>
          <w:color w:val="000000"/>
          <w:sz w:val="24"/>
          <w:szCs w:val="24"/>
        </w:rPr>
        <w:t xml:space="preserve">: If proposed solution is offered as on on-premise, locally hosted platform, describe technical requirements and the technical environment for the use of your software. Provide the minimum hardware and software specifications for networking and security, server, </w:t>
      </w:r>
      <w:proofErr w:type="gramStart"/>
      <w:r w:rsidRPr="00506B3E">
        <w:rPr>
          <w:rFonts w:eastAsia="Times New Roman"/>
          <w:color w:val="000000"/>
          <w:sz w:val="24"/>
          <w:szCs w:val="24"/>
        </w:rPr>
        <w:t>database</w:t>
      </w:r>
      <w:proofErr w:type="gramEnd"/>
      <w:r w:rsidRPr="00506B3E">
        <w:rPr>
          <w:rFonts w:eastAsia="Times New Roman"/>
          <w:color w:val="000000"/>
          <w:sz w:val="24"/>
          <w:szCs w:val="24"/>
        </w:rPr>
        <w:t xml:space="preserv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recommendations</w:t>
      </w:r>
      <w:r>
        <w:rPr>
          <w:rFonts w:asciiTheme="minorHAnsi" w:hAnsiTheme="minorHAnsi" w:cstheme="minorHAnsi"/>
          <w:color w:val="000000"/>
          <w:sz w:val="24"/>
          <w:szCs w:val="24"/>
        </w:rPr>
        <w:t>.</w:t>
      </w:r>
    </w:p>
    <w:p w14:paraId="4F47D3E4" w14:textId="77777777" w:rsidR="00B12CF9" w:rsidRPr="00E938BB" w:rsidRDefault="00B12CF9" w:rsidP="00B12CF9">
      <w:pPr>
        <w:pStyle w:val="ListParagraph"/>
        <w:numPr>
          <w:ilvl w:val="0"/>
          <w:numId w:val="2"/>
        </w:numPr>
        <w:rPr>
          <w:sz w:val="24"/>
          <w:szCs w:val="24"/>
        </w:rPr>
      </w:pPr>
      <w:r w:rsidRPr="00E938BB">
        <w:rPr>
          <w:b/>
          <w:sz w:val="24"/>
          <w:szCs w:val="24"/>
          <w:u w:val="single"/>
        </w:rPr>
        <w:t>Technology Resources</w:t>
      </w:r>
      <w:proofErr w:type="gramStart"/>
      <w:r w:rsidRPr="00E938BB">
        <w:rPr>
          <w:b/>
          <w:szCs w:val="24"/>
          <w:u w:val="single"/>
        </w:rPr>
        <w:t>:</w:t>
      </w:r>
      <w:r w:rsidRPr="00A91473">
        <w:rPr>
          <w:szCs w:val="24"/>
        </w:rPr>
        <w:t xml:space="preserve"> </w:t>
      </w:r>
      <w:r>
        <w:rPr>
          <w:szCs w:val="24"/>
        </w:rPr>
        <w:t xml:space="preserve"> (</w:t>
      </w:r>
      <w:proofErr w:type="gramEnd"/>
      <w:r>
        <w:rPr>
          <w:szCs w:val="24"/>
        </w:rPr>
        <w:t>if applicable)</w:t>
      </w:r>
    </w:p>
    <w:p w14:paraId="1198A4B4" w14:textId="77777777" w:rsidR="00B12CF9" w:rsidRPr="006673AF" w:rsidRDefault="00B12CF9" w:rsidP="00B12CF9">
      <w:pPr>
        <w:pStyle w:val="ListParagraph"/>
        <w:rPr>
          <w:sz w:val="24"/>
          <w:szCs w:val="24"/>
        </w:rPr>
      </w:pPr>
      <w:r w:rsidRPr="00E938BB">
        <w:rPr>
          <w:rFonts w:cs="Calibri"/>
          <w:sz w:val="24"/>
          <w:szCs w:val="24"/>
        </w:rPr>
        <w:t xml:space="preserve">If the proposed solution is software or another technology resource that will be used by the University’s students, or members of the </w:t>
      </w:r>
      <w:proofErr w:type="gramStart"/>
      <w:r w:rsidRPr="00E938BB">
        <w:rPr>
          <w:rFonts w:cs="Calibri"/>
          <w:sz w:val="24"/>
          <w:szCs w:val="24"/>
        </w:rPr>
        <w:t>general public</w:t>
      </w:r>
      <w:proofErr w:type="gramEnd"/>
      <w:r w:rsidRPr="00E938BB">
        <w:rPr>
          <w:rFonts w:cs="Calibri"/>
          <w:sz w:val="24"/>
          <w:szCs w:val="24"/>
        </w:rPr>
        <w:t xml:space="preserve"> (such as walk-in library patrons), respondents must provide a VPAT2, or a VPAT respondent</w:t>
      </w:r>
      <w:r w:rsidRPr="00E938BB">
        <w:rPr>
          <w:rFonts w:ascii="Calibri Light" w:hAnsi="Calibri Light" w:cs="Calibri Light"/>
          <w:sz w:val="24"/>
          <w:szCs w:val="24"/>
        </w:rPr>
        <w:t xml:space="preserve"> </w:t>
      </w:r>
      <w:r w:rsidRPr="00E938BB">
        <w:rPr>
          <w:rFonts w:asciiTheme="minorHAnsi" w:hAnsiTheme="minorHAnsi" w:cstheme="minorHAnsi"/>
          <w:color w:val="000000"/>
          <w:sz w:val="24"/>
          <w:szCs w:val="24"/>
        </w:rPr>
        <w:t xml:space="preserve">does not have a VPAT2.  See this website for more details: </w:t>
      </w:r>
      <w:hyperlink r:id="rId13" w:history="1">
        <w:r w:rsidRPr="00A91473">
          <w:rPr>
            <w:rStyle w:val="Hyperlink"/>
            <w:rFonts w:asciiTheme="minorHAnsi" w:hAnsiTheme="minorHAnsi" w:cstheme="minorHAnsi"/>
            <w:sz w:val="24"/>
            <w:szCs w:val="24"/>
          </w:rPr>
          <w:t>https://www.section508.gov/sell/vpat</w:t>
        </w:r>
      </w:hyperlink>
      <w:r w:rsidRPr="00E938BB">
        <w:rPr>
          <w:rFonts w:ascii="Calibri Light" w:hAnsi="Calibri Light" w:cs="Calibri Light"/>
          <w:color w:val="000000"/>
          <w:sz w:val="24"/>
          <w:szCs w:val="24"/>
        </w:rPr>
        <w:t xml:space="preserve"> </w:t>
      </w:r>
    </w:p>
    <w:p w14:paraId="3178D38A" w14:textId="77777777" w:rsidR="004C1814" w:rsidRDefault="004C1814">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7F33CD2" w14:textId="105F4222" w:rsidR="00B12CF9" w:rsidRDefault="00B12CF9" w:rsidP="00B12CF9">
      <w:pPr>
        <w:rPr>
          <w:rFonts w:asciiTheme="minorHAnsi" w:hAnsiTheme="minorHAnsi" w:cstheme="minorHAnsi"/>
          <w:sz w:val="24"/>
          <w:szCs w:val="24"/>
        </w:rPr>
      </w:pPr>
      <w:r>
        <w:rPr>
          <w:rFonts w:asciiTheme="minorHAnsi" w:hAnsiTheme="minorHAnsi" w:cstheme="minorHAnsi"/>
          <w:b/>
          <w:sz w:val="24"/>
          <w:szCs w:val="24"/>
          <w:u w:val="single"/>
        </w:rPr>
        <w:t>Section C</w:t>
      </w:r>
      <w:r w:rsidRPr="000205E7">
        <w:rPr>
          <w:rFonts w:asciiTheme="minorHAnsi" w:hAnsiTheme="minorHAnsi" w:cstheme="minorHAnsi"/>
          <w:b/>
          <w:sz w:val="24"/>
          <w:szCs w:val="24"/>
          <w:u w:val="single"/>
        </w:rPr>
        <w:t xml:space="preserve">: </w:t>
      </w:r>
      <w:r>
        <w:rPr>
          <w:rFonts w:asciiTheme="minorHAnsi" w:hAnsiTheme="minorHAnsi" w:cstheme="minorHAnsi"/>
          <w:b/>
          <w:sz w:val="24"/>
          <w:szCs w:val="24"/>
          <w:u w:val="single"/>
        </w:rPr>
        <w:t xml:space="preserve">Specifications </w:t>
      </w:r>
    </w:p>
    <w:p w14:paraId="60D94FDE" w14:textId="77777777" w:rsidR="00091338" w:rsidRPr="002B5FC6" w:rsidRDefault="00091338" w:rsidP="00091338">
      <w:pPr>
        <w:jc w:val="both"/>
        <w:rPr>
          <w:sz w:val="24"/>
          <w:szCs w:val="24"/>
        </w:rPr>
      </w:pPr>
      <w:r w:rsidRPr="002B5FC6">
        <w:rPr>
          <w:sz w:val="24"/>
          <w:szCs w:val="24"/>
        </w:rPr>
        <w:t>The Advanced Photoelectron Core Facility at the University of Tennessee Knoxville needs two bellow-sealed linear translator manipulators. This instrument is based on an X-ray Photoelectron spectrometer, installed on an ultra-high vacuum chamber with a base pressure better than 5x10</w:t>
      </w:r>
      <w:r w:rsidRPr="002B5FC6">
        <w:rPr>
          <w:sz w:val="24"/>
          <w:szCs w:val="24"/>
          <w:vertAlign w:val="superscript"/>
        </w:rPr>
        <w:t>-11</w:t>
      </w:r>
      <w:r w:rsidRPr="002B5FC6">
        <w:rPr>
          <w:sz w:val="24"/>
          <w:szCs w:val="24"/>
        </w:rPr>
        <w:t xml:space="preserve"> mbar. The two translators will be used to improve flexibility of operation and implement the experimental techniques already available at the facility. </w:t>
      </w:r>
    </w:p>
    <w:p w14:paraId="0BD9F036" w14:textId="77777777" w:rsidR="00091338" w:rsidRPr="002B5FC6" w:rsidRDefault="00091338" w:rsidP="00091338">
      <w:pPr>
        <w:jc w:val="both"/>
        <w:rPr>
          <w:sz w:val="24"/>
          <w:szCs w:val="24"/>
        </w:rPr>
      </w:pPr>
      <w:r w:rsidRPr="002B5FC6">
        <w:rPr>
          <w:sz w:val="24"/>
          <w:szCs w:val="24"/>
        </w:rPr>
        <w:t xml:space="preserve">The first linear translator will be used to retract and valve off the X-ray source so to allow maintenance without venting the whole chamber and reducing the down time. The second translator will be used to finely position the electron spectrometer so that the focus of the analyzer will perfectly coincide with the geometrical center of the analysis chamber. Satisfying this condition will allow the possibility of carrying out experiments of photoelectron diffraction, a powerful technique to study the local order in thin films and interfaces. For this </w:t>
      </w:r>
      <w:proofErr w:type="gramStart"/>
      <w:r w:rsidRPr="002B5FC6">
        <w:rPr>
          <w:sz w:val="24"/>
          <w:szCs w:val="24"/>
        </w:rPr>
        <w:t>purpose</w:t>
      </w:r>
      <w:proofErr w:type="gramEnd"/>
      <w:r w:rsidRPr="002B5FC6">
        <w:rPr>
          <w:sz w:val="24"/>
          <w:szCs w:val="24"/>
        </w:rPr>
        <w:t xml:space="preserve"> the linear translator that will be mounted on the electron spectrometer will need to allow a tilt adjustment of about ±4deg.</w:t>
      </w:r>
    </w:p>
    <w:p w14:paraId="42E1050F" w14:textId="77777777" w:rsidR="00091338" w:rsidRPr="002B5FC6" w:rsidRDefault="00091338" w:rsidP="00091338">
      <w:pPr>
        <w:jc w:val="both"/>
        <w:rPr>
          <w:sz w:val="24"/>
          <w:szCs w:val="24"/>
        </w:rPr>
      </w:pPr>
      <w:r w:rsidRPr="002B5FC6">
        <w:rPr>
          <w:sz w:val="24"/>
          <w:szCs w:val="24"/>
        </w:rPr>
        <w:t>These are the specifics required for the two linear translators.</w:t>
      </w:r>
    </w:p>
    <w:p w14:paraId="4D8BE831" w14:textId="77777777" w:rsidR="00091338" w:rsidRPr="002B5FC6" w:rsidRDefault="00091338" w:rsidP="00091338">
      <w:pPr>
        <w:rPr>
          <w:sz w:val="24"/>
          <w:szCs w:val="24"/>
        </w:rPr>
      </w:pPr>
      <w:r w:rsidRPr="002B5FC6">
        <w:rPr>
          <w:sz w:val="24"/>
          <w:szCs w:val="24"/>
        </w:rPr>
        <w:t>Item 1 (Photoelectron Spectrometer).</w:t>
      </w:r>
    </w:p>
    <w:p w14:paraId="0B576E2E"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UHV compatible.</w:t>
      </w:r>
    </w:p>
    <w:p w14:paraId="342A8E0A"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50mm linear travel, only z direction.</w:t>
      </w:r>
    </w:p>
    <w:p w14:paraId="5F97D95E"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Top flange tilt adjustable ±4deg.</w:t>
      </w:r>
    </w:p>
    <w:p w14:paraId="5F7ACCC7"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 xml:space="preserve">Edge welded bellow with 150mm (8”) clear </w:t>
      </w:r>
      <w:proofErr w:type="gramStart"/>
      <w:r w:rsidRPr="002B5FC6">
        <w:rPr>
          <w:sz w:val="24"/>
          <w:szCs w:val="24"/>
        </w:rPr>
        <w:t>ID</w:t>
      </w:r>
      <w:proofErr w:type="gramEnd"/>
    </w:p>
    <w:p w14:paraId="050EE223"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 xml:space="preserve"> DN 150 (8”) CF flanges 150 mm (8”). Top flange tapped metric, bottom flange clearance holes.</w:t>
      </w:r>
    </w:p>
    <w:p w14:paraId="27060526"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Manual drive.</w:t>
      </w:r>
    </w:p>
    <w:p w14:paraId="2D0051A1"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Metric scale.</w:t>
      </w:r>
    </w:p>
    <w:p w14:paraId="00486AA1" w14:textId="77777777" w:rsidR="00091338" w:rsidRPr="002B5FC6" w:rsidRDefault="00091338" w:rsidP="00091338">
      <w:pPr>
        <w:pStyle w:val="ListParagraph"/>
        <w:numPr>
          <w:ilvl w:val="0"/>
          <w:numId w:val="9"/>
        </w:numPr>
        <w:spacing w:after="160" w:line="259" w:lineRule="auto"/>
        <w:rPr>
          <w:sz w:val="24"/>
          <w:szCs w:val="24"/>
        </w:rPr>
      </w:pPr>
      <w:r w:rsidRPr="002B5FC6">
        <w:rPr>
          <w:sz w:val="24"/>
          <w:szCs w:val="24"/>
        </w:rPr>
        <w:t>Horizontal mounting compatible.</w:t>
      </w:r>
    </w:p>
    <w:p w14:paraId="752F4D7F" w14:textId="77777777" w:rsidR="00091338" w:rsidRPr="002B5FC6" w:rsidRDefault="00091338" w:rsidP="00091338">
      <w:pPr>
        <w:rPr>
          <w:sz w:val="24"/>
          <w:szCs w:val="24"/>
        </w:rPr>
      </w:pPr>
      <w:r w:rsidRPr="002B5FC6">
        <w:rPr>
          <w:sz w:val="24"/>
          <w:szCs w:val="24"/>
        </w:rPr>
        <w:t>Item 2 (Xray source)</w:t>
      </w:r>
    </w:p>
    <w:p w14:paraId="32BCE505"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UHV compatible.</w:t>
      </w:r>
    </w:p>
    <w:p w14:paraId="13AAB7A0"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 xml:space="preserve">150 mm or </w:t>
      </w:r>
      <w:proofErr w:type="gramStart"/>
      <w:r w:rsidRPr="002B5FC6">
        <w:rPr>
          <w:sz w:val="24"/>
          <w:szCs w:val="24"/>
        </w:rPr>
        <w:t>6 inch</w:t>
      </w:r>
      <w:proofErr w:type="gramEnd"/>
      <w:r w:rsidRPr="002B5FC6">
        <w:rPr>
          <w:sz w:val="24"/>
          <w:szCs w:val="24"/>
        </w:rPr>
        <w:t xml:space="preserve"> Z travel.</w:t>
      </w:r>
    </w:p>
    <w:p w14:paraId="1753418E"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 12 mm (0.5 inch) XY travel.</w:t>
      </w:r>
    </w:p>
    <w:p w14:paraId="7006A28D"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Edge welded bellow, 38 mm clearance ID.</w:t>
      </w:r>
    </w:p>
    <w:p w14:paraId="4996DD61"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DN 38 (2.75”) CF top and bottom flanges. Top flange tapped mm, bottom flange clearance holes.</w:t>
      </w:r>
    </w:p>
    <w:p w14:paraId="3BB7AA48"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Manual drive.</w:t>
      </w:r>
    </w:p>
    <w:p w14:paraId="100C500B"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Metric scales.</w:t>
      </w:r>
    </w:p>
    <w:p w14:paraId="43677F33" w14:textId="77777777" w:rsidR="00091338" w:rsidRPr="002B5FC6" w:rsidRDefault="00091338" w:rsidP="00091338">
      <w:pPr>
        <w:pStyle w:val="ListParagraph"/>
        <w:numPr>
          <w:ilvl w:val="0"/>
          <w:numId w:val="10"/>
        </w:numPr>
        <w:spacing w:after="160" w:line="259" w:lineRule="auto"/>
        <w:rPr>
          <w:sz w:val="24"/>
          <w:szCs w:val="24"/>
        </w:rPr>
      </w:pPr>
      <w:r w:rsidRPr="002B5FC6">
        <w:rPr>
          <w:sz w:val="24"/>
          <w:szCs w:val="24"/>
        </w:rPr>
        <w:t>Horizontal mounting compatible.</w:t>
      </w:r>
    </w:p>
    <w:p w14:paraId="11D82804" w14:textId="77777777" w:rsidR="00B12CF9" w:rsidRPr="00091338" w:rsidRDefault="00B12CF9" w:rsidP="00B12CF9">
      <w:pPr>
        <w:pStyle w:val="NoSpacing"/>
        <w:rPr>
          <w:rFonts w:asciiTheme="minorHAnsi" w:hAnsiTheme="minorHAnsi" w:cstheme="minorHAnsi"/>
          <w:sz w:val="24"/>
          <w:szCs w:val="24"/>
        </w:rPr>
      </w:pPr>
    </w:p>
    <w:p w14:paraId="2C83ED95" w14:textId="57F260A7" w:rsidR="00B12CF9" w:rsidRPr="00091338" w:rsidRDefault="00091338" w:rsidP="00B12CF9">
      <w:pPr>
        <w:pStyle w:val="NoSpacing"/>
        <w:rPr>
          <w:rFonts w:asciiTheme="minorHAnsi" w:hAnsiTheme="minorHAnsi" w:cstheme="minorHAnsi"/>
          <w:sz w:val="24"/>
          <w:szCs w:val="24"/>
        </w:rPr>
      </w:pPr>
      <w:r w:rsidRPr="00091338">
        <w:rPr>
          <w:sz w:val="24"/>
          <w:szCs w:val="24"/>
        </w:rPr>
        <w:t>Lead time will also be determinant for the bid.</w:t>
      </w:r>
    </w:p>
    <w:p w14:paraId="5C3E3595" w14:textId="77777777" w:rsidR="00B12CF9" w:rsidRDefault="00B12CF9" w:rsidP="00B12CF9">
      <w:pPr>
        <w:pStyle w:val="NoSpacing"/>
        <w:rPr>
          <w:rFonts w:asciiTheme="minorHAnsi" w:hAnsiTheme="minorHAnsi" w:cstheme="minorHAnsi"/>
          <w:sz w:val="24"/>
          <w:szCs w:val="24"/>
        </w:rPr>
      </w:pPr>
    </w:p>
    <w:p w14:paraId="7620342C" w14:textId="77777777" w:rsidR="00091338" w:rsidRDefault="00091338">
      <w:pPr>
        <w:spacing w:after="160" w:line="259" w:lineRule="auto"/>
        <w:rPr>
          <w:b/>
          <w:u w:val="single"/>
        </w:rPr>
      </w:pPr>
      <w:r>
        <w:rPr>
          <w:b/>
          <w:u w:val="single"/>
        </w:rPr>
        <w:br w:type="page"/>
      </w:r>
    </w:p>
    <w:p w14:paraId="599A87C5" w14:textId="55BAB0DF" w:rsidR="00B12CF9" w:rsidRPr="007566B7" w:rsidRDefault="007566B7" w:rsidP="007566B7">
      <w:pPr>
        <w:rPr>
          <w:b/>
          <w:u w:val="single"/>
        </w:rPr>
      </w:pPr>
      <w:r w:rsidRPr="007566B7">
        <w:rPr>
          <w:b/>
          <w:u w:val="single"/>
        </w:rPr>
        <w:t>Section D: Cost</w:t>
      </w:r>
    </w:p>
    <w:p w14:paraId="185766F6" w14:textId="77777777" w:rsidR="007B22C4" w:rsidRDefault="007566B7" w:rsidP="007B22C4">
      <w:pPr>
        <w:spacing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In cost </w:t>
      </w:r>
      <w:r w:rsidR="00A5465F">
        <w:rPr>
          <w:rFonts w:asciiTheme="minorHAnsi" w:hAnsiTheme="minorHAnsi" w:cstheme="minorHAnsi"/>
          <w:sz w:val="24"/>
          <w:szCs w:val="24"/>
        </w:rPr>
        <w:t>response</w:t>
      </w:r>
      <w:r>
        <w:rPr>
          <w:rFonts w:asciiTheme="minorHAnsi" w:hAnsiTheme="minorHAnsi" w:cstheme="minorHAnsi"/>
          <w:sz w:val="24"/>
          <w:szCs w:val="24"/>
        </w:rPr>
        <w:t xml:space="preserve"> where the respondent quotes an annual price increase as an “up-to” amount or percentage, the University will use the highest amount or highest percentage to determine the cost of those subsequent years.</w:t>
      </w:r>
      <w:r w:rsidR="007B22C4">
        <w:rPr>
          <w:rFonts w:asciiTheme="minorHAnsi" w:hAnsiTheme="minorHAnsi" w:cstheme="minorHAnsi"/>
          <w:sz w:val="24"/>
          <w:szCs w:val="24"/>
        </w:rPr>
        <w:t xml:space="preserve">  </w:t>
      </w:r>
    </w:p>
    <w:p w14:paraId="6C15AF66" w14:textId="77777777" w:rsidR="007B22C4" w:rsidRDefault="007B22C4" w:rsidP="007B22C4">
      <w:pPr>
        <w:spacing w:line="240" w:lineRule="auto"/>
        <w:ind w:firstLine="720"/>
        <w:rPr>
          <w:rFonts w:asciiTheme="minorHAnsi" w:hAnsiTheme="minorHAnsi" w:cstheme="minorHAnsi"/>
          <w:color w:val="000000"/>
          <w:sz w:val="24"/>
          <w:szCs w:val="24"/>
        </w:rPr>
      </w:pPr>
      <w:r w:rsidRPr="0098496B">
        <w:rPr>
          <w:rFonts w:asciiTheme="minorHAnsi" w:hAnsiTheme="minorHAnsi" w:cstheme="minorHAnsi"/>
          <w:color w:val="000000"/>
          <w:sz w:val="24"/>
          <w:szCs w:val="24"/>
        </w:rPr>
        <w:t xml:space="preserve">The cost </w:t>
      </w:r>
      <w:r w:rsidR="00A5465F">
        <w:rPr>
          <w:rFonts w:asciiTheme="minorHAnsi" w:hAnsiTheme="minorHAnsi" w:cstheme="minorHAnsi"/>
          <w:color w:val="000000"/>
          <w:sz w:val="24"/>
          <w:szCs w:val="24"/>
        </w:rPr>
        <w:t>response</w:t>
      </w:r>
      <w:r w:rsidRPr="0098496B">
        <w:rPr>
          <w:rFonts w:asciiTheme="minorHAnsi" w:hAnsiTheme="minorHAnsi" w:cstheme="minorHAnsi"/>
          <w:color w:val="000000"/>
          <w:sz w:val="24"/>
          <w:szCs w:val="24"/>
        </w:rPr>
        <w:t xml:space="preserve"> must be in US dollars and must include all possible costs to the University</w:t>
      </w:r>
      <w:r>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calculate each cost.  The University will not be responsible for paying any costs that the winning Respondent fails to disclose.    </w:t>
      </w:r>
      <w:r w:rsidRPr="0098496B">
        <w:rPr>
          <w:rFonts w:asciiTheme="minorHAnsi" w:hAnsiTheme="minorHAnsi" w:cstheme="minorHAnsi"/>
          <w:color w:val="000000"/>
          <w:sz w:val="24"/>
          <w:szCs w:val="24"/>
        </w:rPr>
        <w:t xml:space="preserve">  </w:t>
      </w:r>
    </w:p>
    <w:p w14:paraId="16F6D990" w14:textId="77777777" w:rsidR="00B12CF9" w:rsidRDefault="00B12CF9" w:rsidP="00B12CF9">
      <w:pPr>
        <w:pStyle w:val="NoSpacing"/>
        <w:rPr>
          <w:rFonts w:asciiTheme="minorHAnsi" w:hAnsiTheme="minorHAnsi" w:cstheme="minorHAnsi"/>
          <w:sz w:val="24"/>
          <w:szCs w:val="24"/>
        </w:rPr>
      </w:pPr>
    </w:p>
    <w:p w14:paraId="17052662" w14:textId="77777777" w:rsidR="00B12CF9" w:rsidRDefault="00B12CF9" w:rsidP="00B12CF9">
      <w:pPr>
        <w:pStyle w:val="NoSpacing"/>
        <w:rPr>
          <w:rFonts w:asciiTheme="minorHAnsi" w:hAnsiTheme="minorHAnsi" w:cstheme="minorHAnsi"/>
          <w:sz w:val="24"/>
          <w:szCs w:val="24"/>
        </w:rPr>
      </w:pPr>
    </w:p>
    <w:p w14:paraId="3B9E3280" w14:textId="77777777" w:rsidR="00B12CF9" w:rsidRDefault="00B12CF9" w:rsidP="00B12CF9">
      <w:pPr>
        <w:pStyle w:val="NoSpacing"/>
        <w:rPr>
          <w:rFonts w:asciiTheme="minorHAnsi" w:hAnsiTheme="minorHAnsi" w:cstheme="minorHAnsi"/>
          <w:sz w:val="24"/>
          <w:szCs w:val="24"/>
        </w:rPr>
      </w:pPr>
    </w:p>
    <w:p w14:paraId="3F043B7B" w14:textId="77777777" w:rsidR="00166E5E" w:rsidRDefault="00166E5E" w:rsidP="00B12CF9">
      <w:pPr>
        <w:pStyle w:val="NoSpacing"/>
        <w:rPr>
          <w:rFonts w:asciiTheme="minorHAnsi" w:hAnsiTheme="minorHAnsi" w:cstheme="minorHAnsi"/>
          <w:sz w:val="24"/>
          <w:szCs w:val="24"/>
        </w:rPr>
      </w:pPr>
    </w:p>
    <w:p w14:paraId="206AB580" w14:textId="77777777" w:rsidR="00166E5E" w:rsidRDefault="00166E5E" w:rsidP="00B12CF9">
      <w:pPr>
        <w:pStyle w:val="NoSpacing"/>
        <w:rPr>
          <w:rFonts w:asciiTheme="minorHAnsi" w:hAnsiTheme="minorHAnsi" w:cstheme="minorHAnsi"/>
          <w:sz w:val="24"/>
          <w:szCs w:val="24"/>
        </w:rPr>
      </w:pPr>
    </w:p>
    <w:p w14:paraId="38C1C4D8" w14:textId="77777777" w:rsidR="00166E5E" w:rsidRDefault="00166E5E" w:rsidP="00B12CF9">
      <w:pPr>
        <w:pStyle w:val="NoSpacing"/>
        <w:rPr>
          <w:rFonts w:asciiTheme="minorHAnsi" w:hAnsiTheme="minorHAnsi" w:cstheme="minorHAnsi"/>
          <w:sz w:val="24"/>
          <w:szCs w:val="24"/>
        </w:rPr>
      </w:pPr>
    </w:p>
    <w:p w14:paraId="7CA96809" w14:textId="77777777" w:rsidR="00166E5E" w:rsidRDefault="00166E5E" w:rsidP="00B12CF9">
      <w:pPr>
        <w:pStyle w:val="NoSpacing"/>
        <w:rPr>
          <w:rFonts w:asciiTheme="minorHAnsi" w:hAnsiTheme="minorHAnsi" w:cstheme="minorHAnsi"/>
          <w:sz w:val="24"/>
          <w:szCs w:val="24"/>
        </w:rPr>
      </w:pPr>
    </w:p>
    <w:p w14:paraId="0A090BBF" w14:textId="77777777" w:rsidR="00166E5E" w:rsidRDefault="00166E5E" w:rsidP="00B12CF9">
      <w:pPr>
        <w:pStyle w:val="NoSpacing"/>
        <w:rPr>
          <w:rFonts w:asciiTheme="minorHAnsi" w:hAnsiTheme="minorHAnsi" w:cstheme="minorHAnsi"/>
          <w:sz w:val="24"/>
          <w:szCs w:val="24"/>
        </w:rPr>
      </w:pPr>
    </w:p>
    <w:p w14:paraId="18145636" w14:textId="77777777" w:rsidR="00A94B73" w:rsidRDefault="00A94B73">
      <w:pPr>
        <w:spacing w:after="160" w:line="259" w:lineRule="auto"/>
      </w:pPr>
      <w:r>
        <w:br w:type="page"/>
      </w:r>
    </w:p>
    <w:p w14:paraId="5F3C1574" w14:textId="77777777" w:rsidR="00B12CF9" w:rsidRPr="00B120EB" w:rsidRDefault="00B12CF9" w:rsidP="00B12CF9">
      <w:pPr>
        <w:pStyle w:val="Title"/>
        <w:jc w:val="center"/>
        <w:rPr>
          <w:rStyle w:val="Strong"/>
          <w:b w:val="0"/>
          <w:bCs w:val="0"/>
          <w:sz w:val="44"/>
        </w:rPr>
      </w:pPr>
      <w:r>
        <w:rPr>
          <w:rStyle w:val="Strong"/>
          <w:sz w:val="36"/>
        </w:rPr>
        <w:t xml:space="preserve">Schedule </w:t>
      </w:r>
      <w:r w:rsidR="00A94B73">
        <w:rPr>
          <w:rStyle w:val="Strong"/>
          <w:sz w:val="36"/>
        </w:rPr>
        <w:t>1</w:t>
      </w:r>
      <w:r w:rsidRPr="00B120EB">
        <w:rPr>
          <w:rStyle w:val="Strong"/>
          <w:sz w:val="36"/>
        </w:rPr>
        <w:t xml:space="preserve">                                            </w:t>
      </w:r>
      <w:r>
        <w:rPr>
          <w:rStyle w:val="Strong"/>
          <w:sz w:val="36"/>
        </w:rPr>
        <w:t xml:space="preserve">                          </w:t>
      </w:r>
      <w:r w:rsidRPr="00B120EB">
        <w:rPr>
          <w:rStyle w:val="Strong"/>
          <w:sz w:val="36"/>
        </w:rPr>
        <w:t>Purc</w:t>
      </w:r>
      <w:r>
        <w:rPr>
          <w:rStyle w:val="Strong"/>
          <w:sz w:val="36"/>
        </w:rPr>
        <w:t xml:space="preserve">hasing Terms and Conditions version </w:t>
      </w:r>
      <w:proofErr w:type="gramStart"/>
      <w:r w:rsidR="007B7190">
        <w:rPr>
          <w:rStyle w:val="Strong"/>
          <w:sz w:val="36"/>
        </w:rPr>
        <w:t>4.</w:t>
      </w:r>
      <w:r w:rsidR="00F96F76">
        <w:rPr>
          <w:rStyle w:val="Strong"/>
          <w:sz w:val="36"/>
        </w:rPr>
        <w:t>2</w:t>
      </w:r>
      <w:proofErr w:type="gramEnd"/>
    </w:p>
    <w:p w14:paraId="1F0FFA0E"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42F8A8AD" w14:textId="77777777" w:rsidR="00292BF2" w:rsidRPr="00FE010C" w:rsidRDefault="00292BF2" w:rsidP="00292BF2">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586BDA86" w14:textId="77777777" w:rsidR="00F96F76"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14"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3CAB332D" w14:textId="77777777" w:rsidR="00F96F76" w:rsidRPr="0043367C" w:rsidRDefault="00F96F76" w:rsidP="00F96F76">
      <w:pPr>
        <w:numPr>
          <w:ilvl w:val="0"/>
          <w:numId w:val="3"/>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0ED71FCA"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6DEB4512"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75C5C8A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3FB0D93C"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7E8AAFC8"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29867575"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2654CF4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1EA01B4D"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7F442A44"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751675F9"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79B8DAA6"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43A9029F" w14:textId="77777777" w:rsidR="00F96F76" w:rsidRPr="00FE010C" w:rsidRDefault="00F96F76" w:rsidP="00F96F76">
      <w:pPr>
        <w:numPr>
          <w:ilvl w:val="0"/>
          <w:numId w:val="3"/>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45D67264" w14:textId="77777777" w:rsidR="00F96F76" w:rsidRDefault="00F96F76" w:rsidP="00F96F76">
      <w:pPr>
        <w:numPr>
          <w:ilvl w:val="0"/>
          <w:numId w:val="3"/>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4EEF3DFE"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4B2A270B"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2B28AECF" w14:textId="77777777" w:rsidR="00F96F76"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52C6FE8F" w14:textId="77777777" w:rsidR="00F96F76" w:rsidRPr="00FE010C" w:rsidRDefault="00F96F76" w:rsidP="00F96F76">
      <w:pPr>
        <w:numPr>
          <w:ilvl w:val="1"/>
          <w:numId w:val="3"/>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3720991A" w14:textId="77777777" w:rsidR="00F96F76" w:rsidRPr="00FE010C" w:rsidRDefault="00F96F76" w:rsidP="00F96F7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789E5C86" w14:textId="77777777" w:rsidR="00F96F76" w:rsidRPr="00F96F76" w:rsidRDefault="00F96F76" w:rsidP="00F96F76">
      <w:pPr>
        <w:pStyle w:val="ListParagraph"/>
        <w:numPr>
          <w:ilvl w:val="0"/>
          <w:numId w:val="3"/>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6E5077F7"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20171F2A" w14:textId="77777777" w:rsidR="00F96F76" w:rsidRPr="00716675" w:rsidRDefault="00F96F76" w:rsidP="00F96F7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2135F68"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2C3FE7C2" w14:textId="77777777" w:rsidR="00F96F76"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2AAAC230"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r>
        <w:rPr>
          <w:rFonts w:cstheme="minorHAnsi"/>
          <w:sz w:val="24"/>
          <w:szCs w:val="24"/>
        </w:rPr>
        <w:t>low cost</w:t>
      </w:r>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73E87491"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37CCC34E" w14:textId="77777777" w:rsidR="00F96F76" w:rsidRPr="00716675"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456D5F14" w14:textId="77777777" w:rsidR="00F96F76" w:rsidRPr="00D95257" w:rsidRDefault="00F96F76" w:rsidP="00F96F76">
      <w:pPr>
        <w:numPr>
          <w:ilvl w:val="0"/>
          <w:numId w:val="4"/>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15"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0FE550A5" w14:textId="77777777" w:rsidR="00F96F76" w:rsidRDefault="00F96F76" w:rsidP="00F96F76">
      <w:pPr>
        <w:spacing w:before="100" w:beforeAutospacing="1" w:after="100" w:afterAutospacing="1" w:line="240" w:lineRule="auto"/>
        <w:rPr>
          <w:rFonts w:eastAsia="Times New Roman" w:cs="Calibri"/>
          <w:b/>
          <w:bCs/>
          <w:sz w:val="24"/>
          <w:szCs w:val="24"/>
        </w:rPr>
      </w:pPr>
    </w:p>
    <w:p w14:paraId="6B537D44" w14:textId="77777777" w:rsidR="00F96F76" w:rsidRDefault="00F96F76" w:rsidP="00F96F76">
      <w:pPr>
        <w:spacing w:before="100" w:beforeAutospacing="1" w:after="100" w:afterAutospacing="1" w:line="240" w:lineRule="auto"/>
        <w:rPr>
          <w:rFonts w:eastAsia="Times New Roman" w:cs="Calibri"/>
          <w:b/>
          <w:bCs/>
          <w:sz w:val="24"/>
          <w:szCs w:val="24"/>
        </w:rPr>
      </w:pPr>
    </w:p>
    <w:p w14:paraId="7CF983CC" w14:textId="77777777" w:rsidR="00F96F76" w:rsidRPr="00716675" w:rsidRDefault="00F96F76" w:rsidP="00F96F7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0B42311C" w14:textId="77777777" w:rsidR="00F96F76" w:rsidRPr="009074B3" w:rsidRDefault="00F96F76" w:rsidP="00F96F7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0562A65D"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3494F130" w14:textId="77777777" w:rsidR="00F96F76" w:rsidRPr="00716675" w:rsidRDefault="00F96F76" w:rsidP="00F96F76">
      <w:pPr>
        <w:pStyle w:val="ListParagraph"/>
        <w:numPr>
          <w:ilvl w:val="0"/>
          <w:numId w:val="7"/>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50F58924"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769B0796" w14:textId="77777777" w:rsidR="00F96F76" w:rsidRPr="00716675" w:rsidRDefault="00F96F76" w:rsidP="00F96F76">
      <w:pPr>
        <w:pStyle w:val="ListParagraph"/>
        <w:numPr>
          <w:ilvl w:val="1"/>
          <w:numId w:val="7"/>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347EF9B5"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063E641B" w14:textId="77777777" w:rsidR="00F96F76" w:rsidRPr="00A61F3D" w:rsidRDefault="00F96F76" w:rsidP="00F96F76">
      <w:pPr>
        <w:pStyle w:val="ListParagraph"/>
        <w:numPr>
          <w:ilvl w:val="0"/>
          <w:numId w:val="7"/>
        </w:numPr>
        <w:spacing w:after="160" w:line="259" w:lineRule="auto"/>
        <w:rPr>
          <w:rFonts w:eastAsia="Times New Roman" w:cs="Calibri"/>
          <w:sz w:val="24"/>
        </w:rPr>
      </w:pPr>
      <w:r w:rsidRPr="00A61F3D">
        <w:rPr>
          <w:b/>
          <w:sz w:val="24"/>
          <w:u w:val="single"/>
        </w:rPr>
        <w:t>Delivery</w:t>
      </w:r>
      <w:r w:rsidRPr="00A61F3D">
        <w:rPr>
          <w:sz w:val="24"/>
        </w:rPr>
        <w:t>:</w:t>
      </w:r>
    </w:p>
    <w:p w14:paraId="22932100"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0165B187" w14:textId="77777777" w:rsidR="00F96F76" w:rsidRPr="00A61F3D" w:rsidRDefault="00F96F76" w:rsidP="00F96F76">
      <w:pPr>
        <w:pStyle w:val="ListParagraph"/>
        <w:numPr>
          <w:ilvl w:val="1"/>
          <w:numId w:val="7"/>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3558482F" w14:textId="77777777" w:rsidR="00F96F76" w:rsidRPr="00716675" w:rsidRDefault="00F96F76" w:rsidP="00F96F76">
      <w:pPr>
        <w:pStyle w:val="NoSpacing"/>
        <w:widowControl/>
        <w:numPr>
          <w:ilvl w:val="0"/>
          <w:numId w:val="7"/>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16D5F923" w14:textId="77777777" w:rsidR="00F96F76" w:rsidRPr="00716675" w:rsidRDefault="00F96F76" w:rsidP="00F96F76">
      <w:pPr>
        <w:pStyle w:val="NoSpacing"/>
        <w:widowControl/>
        <w:numPr>
          <w:ilvl w:val="1"/>
          <w:numId w:val="7"/>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29C36C53" w14:textId="77777777" w:rsidR="00F96F76" w:rsidRPr="000D45AE" w:rsidRDefault="00F96F76" w:rsidP="00F96F76">
      <w:pPr>
        <w:pStyle w:val="NoSpacing"/>
        <w:widowControl/>
        <w:numPr>
          <w:ilvl w:val="1"/>
          <w:numId w:val="7"/>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004B83">
        <w:rPr>
          <w:rStyle w:val="Strong"/>
          <w:rFonts w:cstheme="minorHAnsi"/>
          <w:b w:val="0"/>
          <w:bCs w:val="0"/>
          <w:sz w:val="24"/>
          <w:szCs w:val="24"/>
        </w:rPr>
        <w:t>University’s payment will not be considered late unless University pays later than 45 calendar days after receiving Supplier’s invoice.</w:t>
      </w:r>
    </w:p>
    <w:p w14:paraId="491F7B9D"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57D614DB" w14:textId="77777777" w:rsidR="00F96F76" w:rsidRPr="00716675" w:rsidRDefault="00F96F76" w:rsidP="00F96F76">
      <w:pPr>
        <w:pStyle w:val="NoSpacing"/>
        <w:widowControl/>
        <w:numPr>
          <w:ilvl w:val="0"/>
          <w:numId w:val="7"/>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AEAFD6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3408758B"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43922B84" w14:textId="77777777" w:rsidR="00F96F76" w:rsidRPr="00716675"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99C2E82" w14:textId="77777777" w:rsidR="00F96F76" w:rsidRDefault="00F96F76" w:rsidP="00F96F76">
      <w:pPr>
        <w:numPr>
          <w:ilvl w:val="1"/>
          <w:numId w:val="7"/>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57B11CF9"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40B15DF0"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6F6DA616"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5C899B64" w14:textId="77777777" w:rsidR="00F96F76" w:rsidRPr="00C273EA"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261B3FD8"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7E6D0640" w14:textId="77777777" w:rsidR="00F96F76" w:rsidRPr="00716675" w:rsidRDefault="00F96F76" w:rsidP="00F96F76">
      <w:pPr>
        <w:numPr>
          <w:ilvl w:val="0"/>
          <w:numId w:val="7"/>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004B83">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3795BBB6"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064F15B4"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2300530A" w14:textId="77777777" w:rsidR="00F96F76" w:rsidRPr="00716675" w:rsidRDefault="00F96F76" w:rsidP="00F96F76">
      <w:pPr>
        <w:numPr>
          <w:ilvl w:val="0"/>
          <w:numId w:val="7"/>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5E7E6665" w14:textId="77777777" w:rsidR="00F96F76" w:rsidRPr="00716675" w:rsidRDefault="00F96F76" w:rsidP="00F96F76">
      <w:pPr>
        <w:pStyle w:val="NoSpacing"/>
        <w:widowControl/>
        <w:numPr>
          <w:ilvl w:val="0"/>
          <w:numId w:val="7"/>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322B20A3"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3B8FCEED"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17023F67"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4C471C12"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5F0CCD95"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937AE51"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3826FD18" w14:textId="77777777" w:rsidR="00F96F76" w:rsidRPr="00716675" w:rsidRDefault="00F96F76" w:rsidP="00F96F76">
      <w:pPr>
        <w:pStyle w:val="NoSpacing"/>
        <w:widowControl/>
        <w:numPr>
          <w:ilvl w:val="0"/>
          <w:numId w:val="7"/>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4AC846E1" w14:textId="77777777" w:rsidR="00F96F76" w:rsidRPr="00716675" w:rsidRDefault="00F96F76" w:rsidP="00F96F76">
      <w:pPr>
        <w:pStyle w:val="NoSpacing"/>
        <w:widowControl/>
        <w:numPr>
          <w:ilvl w:val="1"/>
          <w:numId w:val="7"/>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0053F252"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2F83D954"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 xml:space="preserve">Only the University’s authorized officials have the authority to bind the University.  </w:t>
      </w:r>
    </w:p>
    <w:p w14:paraId="7035456E" w14:textId="77777777" w:rsidR="00F96F76" w:rsidRPr="00716675" w:rsidRDefault="00F96F76" w:rsidP="00F96F76">
      <w:pPr>
        <w:pStyle w:val="NoSpacing"/>
        <w:widowControl/>
        <w:numPr>
          <w:ilvl w:val="1"/>
          <w:numId w:val="7"/>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46B573FD" w14:textId="77777777" w:rsidR="00F96F76" w:rsidRPr="006310E1"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3A2F8175" w14:textId="77777777" w:rsidR="00F96F76" w:rsidRDefault="00F96F76" w:rsidP="00F96F76">
      <w:pPr>
        <w:pStyle w:val="NoSpacing"/>
        <w:widowControl/>
        <w:numPr>
          <w:ilvl w:val="0"/>
          <w:numId w:val="7"/>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4B864975"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debarred by the U.S. federal government.</w:t>
      </w:r>
    </w:p>
    <w:p w14:paraId="79BCF32E"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Supplier is not currently suspended by the U.S. federal government.</w:t>
      </w:r>
    </w:p>
    <w:p w14:paraId="60CA1835" w14:textId="77777777" w:rsidR="00F96F76" w:rsidRDefault="00F96F76" w:rsidP="00F96F76">
      <w:pPr>
        <w:pStyle w:val="NoSpacing"/>
        <w:widowControl/>
        <w:numPr>
          <w:ilvl w:val="1"/>
          <w:numId w:val="7"/>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440F83B1" w14:textId="77777777" w:rsidR="00F96F76" w:rsidRPr="00DE7298" w:rsidRDefault="00F96F76" w:rsidP="00F96F76">
      <w:pPr>
        <w:pStyle w:val="NoSpacing"/>
        <w:widowControl/>
        <w:numPr>
          <w:ilvl w:val="1"/>
          <w:numId w:val="7"/>
        </w:numPr>
        <w:rPr>
          <w:rFonts w:cstheme="minorHAnsi"/>
          <w:sz w:val="24"/>
          <w:szCs w:val="24"/>
        </w:rPr>
      </w:pPr>
      <w:r w:rsidRPr="00DE7298">
        <w:rPr>
          <w:sz w:val="24"/>
          <w:szCs w:val="24"/>
        </w:rPr>
        <w:t>Supplier must notify University within 2 business days if Supplier is debarred by any organization in the United States</w:t>
      </w:r>
    </w:p>
    <w:p w14:paraId="223C005C" w14:textId="77777777" w:rsidR="00F96F76" w:rsidRPr="00716675" w:rsidRDefault="00F96F76" w:rsidP="00F96F76">
      <w:pPr>
        <w:pStyle w:val="NoSpacing"/>
        <w:widowControl/>
        <w:numPr>
          <w:ilvl w:val="0"/>
          <w:numId w:val="7"/>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72E681D7" w14:textId="77777777" w:rsidR="00F96F76" w:rsidRPr="00716675" w:rsidRDefault="00F96F76" w:rsidP="00F96F76">
      <w:pPr>
        <w:pStyle w:val="NoSpacing"/>
        <w:widowControl/>
        <w:numPr>
          <w:ilvl w:val="0"/>
          <w:numId w:val="7"/>
        </w:numPr>
        <w:rPr>
          <w:sz w:val="24"/>
        </w:rPr>
      </w:pPr>
      <w:r w:rsidRPr="00716675">
        <w:rPr>
          <w:b/>
          <w:sz w:val="24"/>
          <w:u w:val="single"/>
        </w:rPr>
        <w:t>Compliance</w:t>
      </w:r>
      <w:r w:rsidRPr="00716675">
        <w:rPr>
          <w:sz w:val="24"/>
        </w:rPr>
        <w:t xml:space="preserve">: </w:t>
      </w:r>
    </w:p>
    <w:p w14:paraId="10100CB2" w14:textId="77777777" w:rsidR="00F96F76" w:rsidRPr="00716675" w:rsidRDefault="00F96F76" w:rsidP="00F96F76">
      <w:pPr>
        <w:pStyle w:val="NoSpacing"/>
        <w:widowControl/>
        <w:numPr>
          <w:ilvl w:val="1"/>
          <w:numId w:val="7"/>
        </w:numPr>
        <w:rPr>
          <w:sz w:val="24"/>
        </w:rPr>
      </w:pPr>
      <w:r w:rsidRPr="00716675">
        <w:rPr>
          <w:rFonts w:cstheme="minorHAnsi"/>
          <w:sz w:val="24"/>
          <w:szCs w:val="24"/>
          <w:u w:val="single"/>
        </w:rPr>
        <w:t>Conflicts of Interest</w:t>
      </w:r>
      <w:r w:rsidRPr="00716675">
        <w:rPr>
          <w:sz w:val="24"/>
        </w:rPr>
        <w:t xml:space="preserve">: </w:t>
      </w:r>
    </w:p>
    <w:p w14:paraId="52C3B83E" w14:textId="77777777" w:rsidR="00F96F76" w:rsidRPr="00716675" w:rsidRDefault="00F96F76" w:rsidP="00F96F76">
      <w:pPr>
        <w:pStyle w:val="NoSpacing"/>
        <w:widowControl/>
        <w:numPr>
          <w:ilvl w:val="2"/>
          <w:numId w:val="7"/>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3980097A" w14:textId="77777777" w:rsidR="00F96F76" w:rsidRPr="00716675" w:rsidRDefault="00F96F76" w:rsidP="00F96F76">
      <w:pPr>
        <w:pStyle w:val="NoSpacing"/>
        <w:widowControl/>
        <w:numPr>
          <w:ilvl w:val="2"/>
          <w:numId w:val="7"/>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7FF856D2" w14:textId="77777777" w:rsidR="00F96F76" w:rsidRPr="00716675" w:rsidRDefault="00F96F76" w:rsidP="00F96F76">
      <w:pPr>
        <w:pStyle w:val="NoSpacing"/>
        <w:widowControl/>
        <w:numPr>
          <w:ilvl w:val="0"/>
          <w:numId w:val="7"/>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7527BDC2" w14:textId="77777777" w:rsidR="00F96F7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10A7A4E7"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0A6DFB47" w14:textId="77777777" w:rsidR="00F96F76" w:rsidRDefault="00F96F76" w:rsidP="00F96F76">
      <w:pPr>
        <w:pStyle w:val="NoSpacing"/>
        <w:widowControl/>
        <w:numPr>
          <w:ilvl w:val="2"/>
          <w:numId w:val="7"/>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384D7F9A" w14:textId="77777777" w:rsidR="00F96F76" w:rsidRPr="00523DD6" w:rsidRDefault="00F96F76" w:rsidP="00F96F76">
      <w:pPr>
        <w:pStyle w:val="NoSpacing"/>
        <w:widowControl/>
        <w:numPr>
          <w:ilvl w:val="1"/>
          <w:numId w:val="7"/>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10250240" w14:textId="77777777" w:rsidR="00F96F76" w:rsidRPr="00523DD6" w:rsidRDefault="00F96F76" w:rsidP="00F96F76">
      <w:pPr>
        <w:pStyle w:val="NoSpacing"/>
        <w:widowControl/>
        <w:numPr>
          <w:ilvl w:val="1"/>
          <w:numId w:val="7"/>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51A86">
        <w:rPr>
          <w:rFonts w:cstheme="minorHAnsi"/>
          <w:bCs/>
          <w:sz w:val="24"/>
          <w:szCs w:val="24"/>
        </w:rPr>
        <w:t>.</w:t>
      </w:r>
    </w:p>
    <w:p w14:paraId="76D419C7" w14:textId="77777777" w:rsidR="00FC1C04" w:rsidRDefault="00FC1C04"/>
    <w:sectPr w:rsidR="00FC1C04" w:rsidSect="004C181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F263" w14:textId="77777777" w:rsidR="004C1814" w:rsidRDefault="004C1814" w:rsidP="00B12CF9">
      <w:pPr>
        <w:spacing w:after="0" w:line="240" w:lineRule="auto"/>
      </w:pPr>
      <w:r>
        <w:separator/>
      </w:r>
    </w:p>
  </w:endnote>
  <w:endnote w:type="continuationSeparator" w:id="0">
    <w:p w14:paraId="4522D051" w14:textId="77777777" w:rsidR="004C1814" w:rsidRDefault="004C1814" w:rsidP="00B1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1151" w14:textId="77777777" w:rsidR="00CC30F8" w:rsidRDefault="00CC3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021072"/>
      <w:docPartObj>
        <w:docPartGallery w:val="Page Numbers (Bottom of Page)"/>
        <w:docPartUnique/>
      </w:docPartObj>
    </w:sdtPr>
    <w:sdtEndPr>
      <w:rPr>
        <w:noProof/>
      </w:rPr>
    </w:sdtEndPr>
    <w:sdtContent>
      <w:p w14:paraId="453A1EAF" w14:textId="77777777" w:rsidR="00634A7F" w:rsidRDefault="00634A7F">
        <w:pPr>
          <w:pStyle w:val="Footer"/>
          <w:jc w:val="center"/>
        </w:pPr>
        <w:r>
          <w:fldChar w:fldCharType="begin"/>
        </w:r>
        <w:r>
          <w:instrText xml:space="preserve"> PAGE   \* MERGEFORMAT </w:instrText>
        </w:r>
        <w:r>
          <w:fldChar w:fldCharType="separate"/>
        </w:r>
        <w:r w:rsidR="00C84550">
          <w:rPr>
            <w:noProof/>
          </w:rPr>
          <w:t>16</w:t>
        </w:r>
        <w:r>
          <w:rPr>
            <w:noProof/>
          </w:rPr>
          <w:fldChar w:fldCharType="end"/>
        </w:r>
      </w:p>
    </w:sdtContent>
  </w:sdt>
  <w:p w14:paraId="61B7FA50" w14:textId="77777777" w:rsidR="00634A7F" w:rsidRDefault="00634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AAEB" w14:textId="77777777" w:rsidR="00CC30F8" w:rsidRDefault="00CC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1289" w14:textId="77777777" w:rsidR="004C1814" w:rsidRDefault="004C1814" w:rsidP="00B12CF9">
      <w:pPr>
        <w:spacing w:after="0" w:line="240" w:lineRule="auto"/>
      </w:pPr>
      <w:r>
        <w:separator/>
      </w:r>
    </w:p>
  </w:footnote>
  <w:footnote w:type="continuationSeparator" w:id="0">
    <w:p w14:paraId="2D4B7DA2" w14:textId="77777777" w:rsidR="004C1814" w:rsidRDefault="004C1814" w:rsidP="00B12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C05D" w14:textId="526CCD5C" w:rsidR="00CC30F8" w:rsidRDefault="00CC3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7982" w14:textId="0514A9F9" w:rsidR="00B12CF9" w:rsidRDefault="00B12CF9" w:rsidP="00B12C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99CA" w14:textId="2717CC28" w:rsidR="00B12CF9" w:rsidRPr="00A16C57" w:rsidRDefault="00A16C57" w:rsidP="00A16C57">
    <w:pPr>
      <w:pStyle w:val="Header"/>
      <w:tabs>
        <w:tab w:val="clear" w:pos="4680"/>
        <w:tab w:val="clear" w:pos="9360"/>
        <w:tab w:val="left" w:pos="3870"/>
      </w:tabs>
    </w:pPr>
    <w:r>
      <w:rPr>
        <w:noProof/>
      </w:rPr>
      <w:drawing>
        <wp:inline distT="0" distB="0" distL="0" distR="0" wp14:anchorId="44AED704" wp14:editId="027B8574">
          <wp:extent cx="5943600" cy="19050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F5845"/>
    <w:multiLevelType w:val="hybridMultilevel"/>
    <w:tmpl w:val="180E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55FAA"/>
    <w:multiLevelType w:val="hybridMultilevel"/>
    <w:tmpl w:val="5F2A48E4"/>
    <w:lvl w:ilvl="0" w:tplc="09C2D5E2">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A721D3"/>
    <w:multiLevelType w:val="hybridMultilevel"/>
    <w:tmpl w:val="C26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B3DF2"/>
    <w:multiLevelType w:val="hybridMultilevel"/>
    <w:tmpl w:val="2BA8303C"/>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43588">
    <w:abstractNumId w:val="1"/>
  </w:num>
  <w:num w:numId="2" w16cid:durableId="623654646">
    <w:abstractNumId w:val="9"/>
  </w:num>
  <w:num w:numId="3" w16cid:durableId="1531801586">
    <w:abstractNumId w:val="7"/>
  </w:num>
  <w:num w:numId="4" w16cid:durableId="437411618">
    <w:abstractNumId w:val="0"/>
  </w:num>
  <w:num w:numId="5" w16cid:durableId="978339185">
    <w:abstractNumId w:val="6"/>
  </w:num>
  <w:num w:numId="6" w16cid:durableId="1531606179">
    <w:abstractNumId w:val="4"/>
  </w:num>
  <w:num w:numId="7" w16cid:durableId="1067414851">
    <w:abstractNumId w:val="2"/>
  </w:num>
  <w:num w:numId="8" w16cid:durableId="5628399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9468509">
    <w:abstractNumId w:val="3"/>
  </w:num>
  <w:num w:numId="10" w16cid:durableId="639841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14"/>
    <w:rsid w:val="0000199C"/>
    <w:rsid w:val="00004B83"/>
    <w:rsid w:val="00005253"/>
    <w:rsid w:val="0005268C"/>
    <w:rsid w:val="00075E3A"/>
    <w:rsid w:val="00091338"/>
    <w:rsid w:val="000A6695"/>
    <w:rsid w:val="0012225E"/>
    <w:rsid w:val="00143985"/>
    <w:rsid w:val="00166E5E"/>
    <w:rsid w:val="00176A36"/>
    <w:rsid w:val="001C6DCB"/>
    <w:rsid w:val="002057D6"/>
    <w:rsid w:val="002119A5"/>
    <w:rsid w:val="002435FB"/>
    <w:rsid w:val="0024554B"/>
    <w:rsid w:val="00247F64"/>
    <w:rsid w:val="0025419D"/>
    <w:rsid w:val="00292BF2"/>
    <w:rsid w:val="00295C33"/>
    <w:rsid w:val="002B5FC6"/>
    <w:rsid w:val="002E01C5"/>
    <w:rsid w:val="0034310C"/>
    <w:rsid w:val="00354F23"/>
    <w:rsid w:val="00383E99"/>
    <w:rsid w:val="00383F2C"/>
    <w:rsid w:val="003F7FEA"/>
    <w:rsid w:val="00400541"/>
    <w:rsid w:val="00475FA5"/>
    <w:rsid w:val="004852B2"/>
    <w:rsid w:val="004A5C8D"/>
    <w:rsid w:val="004C1814"/>
    <w:rsid w:val="00506B3E"/>
    <w:rsid w:val="005E1D73"/>
    <w:rsid w:val="00606722"/>
    <w:rsid w:val="00612B96"/>
    <w:rsid w:val="00634A7F"/>
    <w:rsid w:val="00652978"/>
    <w:rsid w:val="00677D50"/>
    <w:rsid w:val="006C4832"/>
    <w:rsid w:val="006F2077"/>
    <w:rsid w:val="006F68F3"/>
    <w:rsid w:val="006F726A"/>
    <w:rsid w:val="0072348B"/>
    <w:rsid w:val="007566B7"/>
    <w:rsid w:val="007640CD"/>
    <w:rsid w:val="00780824"/>
    <w:rsid w:val="00781CC3"/>
    <w:rsid w:val="007B185F"/>
    <w:rsid w:val="007B22C4"/>
    <w:rsid w:val="007B7190"/>
    <w:rsid w:val="007E6A2A"/>
    <w:rsid w:val="00807799"/>
    <w:rsid w:val="00823436"/>
    <w:rsid w:val="008544C1"/>
    <w:rsid w:val="00896CCC"/>
    <w:rsid w:val="00897F84"/>
    <w:rsid w:val="008A3B7D"/>
    <w:rsid w:val="008E5C37"/>
    <w:rsid w:val="0090243F"/>
    <w:rsid w:val="00963BB0"/>
    <w:rsid w:val="00977EE4"/>
    <w:rsid w:val="00991A42"/>
    <w:rsid w:val="00994C6A"/>
    <w:rsid w:val="00A16C57"/>
    <w:rsid w:val="00A5465F"/>
    <w:rsid w:val="00A730E2"/>
    <w:rsid w:val="00A94B73"/>
    <w:rsid w:val="00AA1657"/>
    <w:rsid w:val="00B12CF9"/>
    <w:rsid w:val="00B52477"/>
    <w:rsid w:val="00B54D05"/>
    <w:rsid w:val="00BE2F84"/>
    <w:rsid w:val="00C04F05"/>
    <w:rsid w:val="00C33296"/>
    <w:rsid w:val="00C359D3"/>
    <w:rsid w:val="00C658A7"/>
    <w:rsid w:val="00C84550"/>
    <w:rsid w:val="00CC30F8"/>
    <w:rsid w:val="00CF277E"/>
    <w:rsid w:val="00D15CF9"/>
    <w:rsid w:val="00DA320C"/>
    <w:rsid w:val="00DE30DA"/>
    <w:rsid w:val="00DE414B"/>
    <w:rsid w:val="00DF6426"/>
    <w:rsid w:val="00E15D19"/>
    <w:rsid w:val="00E218E1"/>
    <w:rsid w:val="00E33495"/>
    <w:rsid w:val="00E36BFF"/>
    <w:rsid w:val="00F96F76"/>
    <w:rsid w:val="00FA1192"/>
    <w:rsid w:val="00FB1380"/>
    <w:rsid w:val="00FC1C04"/>
    <w:rsid w:val="00FD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065BA25"/>
  <w15:chartTrackingRefBased/>
  <w15:docId w15:val="{2D4C0FBB-11ED-5546-8E99-505389F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2CF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B12CF9"/>
    <w:rPr>
      <w:rFonts w:ascii="Cambria" w:eastAsia="Times New Roman" w:hAnsi="Cambria" w:cs="Times New Roman"/>
      <w:color w:val="17365D"/>
      <w:spacing w:val="5"/>
      <w:kern w:val="28"/>
      <w:sz w:val="52"/>
      <w:szCs w:val="52"/>
    </w:rPr>
  </w:style>
  <w:style w:type="character" w:styleId="Hyperlink">
    <w:name w:val="Hyperlink"/>
    <w:rsid w:val="00B12CF9"/>
    <w:rPr>
      <w:color w:val="0000FF"/>
      <w:u w:val="single"/>
    </w:rPr>
  </w:style>
  <w:style w:type="paragraph" w:styleId="ListParagraph">
    <w:name w:val="List Paragraph"/>
    <w:basedOn w:val="Normal"/>
    <w:uiPriority w:val="34"/>
    <w:qFormat/>
    <w:rsid w:val="00B12CF9"/>
    <w:pPr>
      <w:ind w:left="720"/>
      <w:contextualSpacing/>
    </w:pPr>
  </w:style>
  <w:style w:type="paragraph" w:styleId="NoSpacing">
    <w:name w:val="No Spacing"/>
    <w:uiPriority w:val="1"/>
    <w:qFormat/>
    <w:rsid w:val="00B12CF9"/>
    <w:pPr>
      <w:widowControl w:val="0"/>
      <w:spacing w:after="0" w:line="240" w:lineRule="auto"/>
    </w:pPr>
    <w:rPr>
      <w:rFonts w:ascii="Calibri" w:eastAsia="Calibri" w:hAnsi="Calibri" w:cs="Times New Roman"/>
    </w:rPr>
  </w:style>
  <w:style w:type="character" w:styleId="Strong">
    <w:name w:val="Strong"/>
    <w:basedOn w:val="DefaultParagraphFont"/>
    <w:uiPriority w:val="22"/>
    <w:qFormat/>
    <w:rsid w:val="00B12CF9"/>
    <w:rPr>
      <w:b/>
      <w:bCs/>
    </w:rPr>
  </w:style>
  <w:style w:type="table" w:styleId="TableGrid">
    <w:name w:val="Table Grid"/>
    <w:basedOn w:val="TableNormal"/>
    <w:uiPriority w:val="39"/>
    <w:rsid w:val="00B1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12CF9"/>
  </w:style>
  <w:style w:type="character" w:styleId="PlaceholderText">
    <w:name w:val="Placeholder Text"/>
    <w:basedOn w:val="DefaultParagraphFont"/>
    <w:uiPriority w:val="99"/>
    <w:semiHidden/>
    <w:rsid w:val="00B12CF9"/>
    <w:rPr>
      <w:color w:val="808080"/>
    </w:rPr>
  </w:style>
  <w:style w:type="paragraph" w:styleId="Header">
    <w:name w:val="header"/>
    <w:basedOn w:val="Normal"/>
    <w:link w:val="HeaderChar"/>
    <w:uiPriority w:val="99"/>
    <w:unhideWhenUsed/>
    <w:rsid w:val="00B12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F9"/>
    <w:rPr>
      <w:rFonts w:ascii="Calibri" w:eastAsia="Calibri" w:hAnsi="Calibri" w:cs="Times New Roman"/>
    </w:rPr>
  </w:style>
  <w:style w:type="paragraph" w:styleId="Footer">
    <w:name w:val="footer"/>
    <w:basedOn w:val="Normal"/>
    <w:link w:val="FooterChar"/>
    <w:uiPriority w:val="99"/>
    <w:unhideWhenUsed/>
    <w:rsid w:val="00B12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F9"/>
    <w:rPr>
      <w:rFonts w:ascii="Calibri" w:eastAsia="Calibri" w:hAnsi="Calibri" w:cs="Times New Roman"/>
    </w:rPr>
  </w:style>
  <w:style w:type="paragraph" w:styleId="BalloonText">
    <w:name w:val="Balloon Text"/>
    <w:basedOn w:val="Normal"/>
    <w:link w:val="BalloonTextChar"/>
    <w:uiPriority w:val="99"/>
    <w:semiHidden/>
    <w:unhideWhenUsed/>
    <w:rsid w:val="00FA1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19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E1D73"/>
    <w:rPr>
      <w:sz w:val="16"/>
      <w:szCs w:val="16"/>
    </w:rPr>
  </w:style>
  <w:style w:type="paragraph" w:styleId="CommentText">
    <w:name w:val="annotation text"/>
    <w:basedOn w:val="Normal"/>
    <w:link w:val="CommentTextChar"/>
    <w:uiPriority w:val="99"/>
    <w:unhideWhenUsed/>
    <w:rsid w:val="005E1D73"/>
    <w:pPr>
      <w:spacing w:line="240" w:lineRule="auto"/>
    </w:pPr>
    <w:rPr>
      <w:sz w:val="20"/>
      <w:szCs w:val="20"/>
    </w:rPr>
  </w:style>
  <w:style w:type="character" w:customStyle="1" w:styleId="CommentTextChar">
    <w:name w:val="Comment Text Char"/>
    <w:basedOn w:val="DefaultParagraphFont"/>
    <w:link w:val="CommentText"/>
    <w:uiPriority w:val="99"/>
    <w:rsid w:val="005E1D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1D73"/>
    <w:rPr>
      <w:b/>
      <w:bCs/>
    </w:rPr>
  </w:style>
  <w:style w:type="character" w:customStyle="1" w:styleId="CommentSubjectChar">
    <w:name w:val="Comment Subject Char"/>
    <w:basedOn w:val="CommentTextChar"/>
    <w:link w:val="CommentSubject"/>
    <w:uiPriority w:val="99"/>
    <w:semiHidden/>
    <w:rsid w:val="005E1D7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4554B"/>
    <w:rPr>
      <w:color w:val="954F72" w:themeColor="followedHyperlink"/>
      <w:u w:val="single"/>
    </w:rPr>
  </w:style>
  <w:style w:type="paragraph" w:styleId="Revision">
    <w:name w:val="Revision"/>
    <w:hidden/>
    <w:uiPriority w:val="99"/>
    <w:semiHidden/>
    <w:rsid w:val="00506B3E"/>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C1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1018">
      <w:bodyDiv w:val="1"/>
      <w:marLeft w:val="0"/>
      <w:marRight w:val="0"/>
      <w:marTop w:val="0"/>
      <w:marBottom w:val="0"/>
      <w:divBdr>
        <w:top w:val="none" w:sz="0" w:space="0" w:color="auto"/>
        <w:left w:val="none" w:sz="0" w:space="0" w:color="auto"/>
        <w:bottom w:val="none" w:sz="0" w:space="0" w:color="auto"/>
        <w:right w:val="none" w:sz="0" w:space="0" w:color="auto"/>
      </w:divBdr>
    </w:div>
    <w:div w:id="16496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ction508.gov/sell/vp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yperlink" Target="http://policy.tennessee.edu/fiscal_policy/fi0405/" TargetMode="External"/><Relationship Id="rId23" Type="http://schemas.openxmlformats.org/officeDocument/2006/relationships/theme" Target="theme/theme1.xml"/><Relationship Id="rId10" Type="http://schemas.openxmlformats.org/officeDocument/2006/relationships/hyperlink" Target="mailto:broberts@tennessee.ed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msolution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yjroberts/Library/CloudStorage/OneDrive-UniversityofTennessee/Documents/Procurement/PO%20Files/RFQ/In%20Progress/3892754-Isley-johnson/bid%20documents/RFQ_Template_2.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CD10CDD0C4941AB695CE569AE1EA4" ma:contentTypeVersion="5" ma:contentTypeDescription="Create a new document." ma:contentTypeScope="" ma:versionID="fc50acebba3ed449d367e305c8622fc0">
  <xsd:schema xmlns:xsd="http://www.w3.org/2001/XMLSchema" xmlns:xs="http://www.w3.org/2001/XMLSchema" xmlns:p="http://schemas.microsoft.com/office/2006/metadata/properties" xmlns:ns2="775330f2-0e3f-4e36-90e6-77f61e219927" xmlns:ns3="5470b53b-592d-4d74-a95e-6c40522f3036" targetNamespace="http://schemas.microsoft.com/office/2006/metadata/properties" ma:root="true" ma:fieldsID="4c09a9183c2ae6ba77df3f5febd66a2c" ns2:_="" ns3:_="">
    <xsd:import namespace="775330f2-0e3f-4e36-90e6-77f61e219927"/>
    <xsd:import namespace="5470b53b-592d-4d74-a95e-6c40522f3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30f2-0e3f-4e36-90e6-77f61e21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b53b-592d-4d74-a95e-6c40522f30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28AE9-812D-42EC-AD88-F54E4E95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30f2-0e3f-4e36-90e6-77f61e219927"/>
    <ds:schemaRef ds:uri="5470b53b-592d-4d74-a95e-6c40522f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AD5D-9F10-472C-A95B-CE392494D857}">
  <ds:schemaRefs>
    <ds:schemaRef ds:uri="http://schemas.microsoft.com/sharepoint/v3/contenttype/forms"/>
  </ds:schemaRefs>
</ds:datastoreItem>
</file>

<file path=customXml/itemProps3.xml><?xml version="1.0" encoding="utf-8"?>
<ds:datastoreItem xmlns:ds="http://schemas.openxmlformats.org/officeDocument/2006/customXml" ds:itemID="{D49C003C-731E-46D8-8A56-8842B34516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RFQ_Template_2.25.dotx</Template>
  <TotalTime>10</TotalTime>
  <Pages>16</Pages>
  <Words>5081</Words>
  <Characters>28965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Roberts, Billy J (BJ)</cp:lastModifiedBy>
  <cp:revision>6</cp:revision>
  <cp:lastPrinted>2020-01-24T15:50:00Z</cp:lastPrinted>
  <dcterms:created xsi:type="dcterms:W3CDTF">2024-04-04T15:24:00Z</dcterms:created>
  <dcterms:modified xsi:type="dcterms:W3CDTF">2024-04-09T16:31:00Z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0x010100F55CD10CDD0C4941AB695CE569AE1EA4</vt:lpwstr>
  </property>
  <property fmtid="{D5CDD505-2E9C-101B-9397-08002B2CF9AE}" pid="3" name="Order">
    <vt:r8>296200</vt:r8>
  </property>
  <property fmtid="{D5CDD505-2E9C-101B-9397-08002B2CF9AE}" pid="4" name="MediaServiceImageTags">
    <vt:lpwstr/>
  </property>
</Properties>
</file>