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6BF18" w14:textId="77777777" w:rsidR="00CC52FC" w:rsidRPr="00455F67" w:rsidRDefault="002776A5" w:rsidP="002C4DE0">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7C4DBB41" w14:textId="77777777" w:rsidR="00CC52FC" w:rsidRPr="00013F36" w:rsidRDefault="00013F36" w:rsidP="002C4DE0">
      <w:pPr>
        <w:tabs>
          <w:tab w:val="left" w:pos="3840"/>
        </w:tabs>
        <w:spacing w:line="240" w:lineRule="auto"/>
        <w:rPr>
          <w:b/>
        </w:rPr>
      </w:pPr>
      <w:r>
        <w:tab/>
      </w:r>
      <w:r w:rsidR="00897D34">
        <w:rPr>
          <w:rFonts w:asciiTheme="minorHAnsi" w:eastAsia="Times New Roman" w:hAnsiTheme="minorHAnsi" w:cs="Arial"/>
          <w:b/>
          <w:sz w:val="28"/>
          <w:szCs w:val="44"/>
        </w:rPr>
        <w:t xml:space="preserve">Version </w:t>
      </w:r>
      <w:r w:rsidR="00E00824">
        <w:rPr>
          <w:rFonts w:asciiTheme="minorHAnsi" w:eastAsia="Times New Roman" w:hAnsiTheme="minorHAnsi" w:cs="Arial"/>
          <w:b/>
          <w:sz w:val="28"/>
          <w:szCs w:val="44"/>
        </w:rPr>
        <w:t>4.</w:t>
      </w:r>
      <w:r w:rsidR="00523C50">
        <w:rPr>
          <w:rFonts w:asciiTheme="minorHAnsi" w:eastAsia="Times New Roman" w:hAnsiTheme="minorHAnsi" w:cs="Arial"/>
          <w:b/>
          <w:sz w:val="28"/>
          <w:szCs w:val="44"/>
        </w:rPr>
        <w:t>3</w:t>
      </w:r>
      <w:r w:rsidR="00C00107">
        <w:rPr>
          <w:rFonts w:asciiTheme="minorHAnsi" w:eastAsia="Times New Roman" w:hAnsiTheme="minorHAnsi" w:cs="Arial"/>
          <w:b/>
          <w:sz w:val="28"/>
          <w:szCs w:val="44"/>
        </w:rPr>
        <w:t>4</w:t>
      </w:r>
    </w:p>
    <w:p w14:paraId="4D15AE04" w14:textId="77777777" w:rsidR="00CC52FC" w:rsidRPr="00CC52FC" w:rsidRDefault="00CC52FC" w:rsidP="002C4DE0">
      <w:pPr>
        <w:spacing w:line="240" w:lineRule="auto"/>
      </w:pPr>
    </w:p>
    <w:p w14:paraId="53C19D9A" w14:textId="77777777" w:rsidR="00CC52FC" w:rsidRPr="00CC52FC" w:rsidRDefault="00CC52FC" w:rsidP="002C4DE0">
      <w:pPr>
        <w:spacing w:line="240" w:lineRule="auto"/>
      </w:pPr>
    </w:p>
    <w:p w14:paraId="45C80818" w14:textId="77777777" w:rsidR="00CC52FC" w:rsidRPr="00CC52FC" w:rsidRDefault="00CC52FC" w:rsidP="002C4DE0">
      <w:pPr>
        <w:spacing w:line="240" w:lineRule="auto"/>
      </w:pPr>
    </w:p>
    <w:tbl>
      <w:tblPr>
        <w:tblStyle w:val="TableGrid"/>
        <w:tblW w:w="0" w:type="auto"/>
        <w:tblLook w:val="04A0" w:firstRow="1" w:lastRow="0" w:firstColumn="1" w:lastColumn="0" w:noHBand="0" w:noVBand="1"/>
      </w:tblPr>
      <w:tblGrid>
        <w:gridCol w:w="3325"/>
        <w:gridCol w:w="6025"/>
      </w:tblGrid>
      <w:tr w:rsidR="003440C8" w14:paraId="3969745E" w14:textId="77777777" w:rsidTr="00FE4E2D">
        <w:tc>
          <w:tcPr>
            <w:tcW w:w="3325" w:type="dxa"/>
            <w:shd w:val="clear" w:color="auto" w:fill="F2F2F2" w:themeFill="background1" w:themeFillShade="F2"/>
          </w:tcPr>
          <w:p w14:paraId="25EB50D2"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4F88426F" w14:textId="6B4B5F60" w:rsidR="003440C8" w:rsidRPr="00497157" w:rsidRDefault="00497157" w:rsidP="002C4DE0">
            <w:pPr>
              <w:spacing w:line="240" w:lineRule="auto"/>
              <w:rPr>
                <w:rFonts w:asciiTheme="minorHAnsi" w:eastAsia="Times New Roman" w:hAnsiTheme="minorHAnsi" w:cs="Arial"/>
                <w:sz w:val="28"/>
                <w:szCs w:val="44"/>
              </w:rPr>
            </w:pPr>
            <w:r w:rsidRPr="00497157">
              <w:rPr>
                <w:rFonts w:asciiTheme="minorHAnsi" w:eastAsia="Times New Roman" w:hAnsiTheme="minorHAnsi" w:cs="Arial"/>
                <w:sz w:val="28"/>
                <w:szCs w:val="44"/>
              </w:rPr>
              <w:t>Req</w:t>
            </w:r>
            <w:r>
              <w:rPr>
                <w:rFonts w:asciiTheme="minorHAnsi" w:eastAsia="Times New Roman" w:hAnsiTheme="minorHAnsi" w:cs="Arial"/>
                <w:sz w:val="28"/>
                <w:szCs w:val="44"/>
              </w:rPr>
              <w:t xml:space="preserve">uest </w:t>
            </w:r>
            <w:r w:rsidR="00D5778A">
              <w:rPr>
                <w:rFonts w:asciiTheme="minorHAnsi" w:eastAsia="Times New Roman" w:hAnsiTheme="minorHAnsi" w:cs="Arial"/>
                <w:sz w:val="28"/>
                <w:szCs w:val="44"/>
              </w:rPr>
              <w:t>for Proposal: Pyrotechnic</w:t>
            </w:r>
            <w:r w:rsidR="00AD39B8">
              <w:rPr>
                <w:rFonts w:asciiTheme="minorHAnsi" w:eastAsia="Times New Roman" w:hAnsiTheme="minorHAnsi" w:cs="Arial"/>
                <w:sz w:val="28"/>
                <w:szCs w:val="44"/>
              </w:rPr>
              <w:t xml:space="preserve"> Service</w:t>
            </w:r>
            <w:r w:rsidR="00D5778A">
              <w:rPr>
                <w:rFonts w:asciiTheme="minorHAnsi" w:eastAsia="Times New Roman" w:hAnsiTheme="minorHAnsi" w:cs="Arial"/>
                <w:sz w:val="28"/>
                <w:szCs w:val="44"/>
              </w:rPr>
              <w:t>s for UTK Athletics</w:t>
            </w:r>
          </w:p>
        </w:tc>
      </w:tr>
      <w:tr w:rsidR="003440C8" w14:paraId="6703D58D" w14:textId="77777777" w:rsidTr="00FE4E2D">
        <w:tc>
          <w:tcPr>
            <w:tcW w:w="3325" w:type="dxa"/>
            <w:shd w:val="clear" w:color="auto" w:fill="F2F2F2" w:themeFill="background1" w:themeFillShade="F2"/>
          </w:tcPr>
          <w:p w14:paraId="1DA1FE09"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6A9B6879" w14:textId="3550D920" w:rsidR="003440C8" w:rsidRPr="007B2512" w:rsidRDefault="00AD39B8" w:rsidP="002C4DE0">
            <w:pPr>
              <w:spacing w:line="240" w:lineRule="auto"/>
              <w:rPr>
                <w:rFonts w:asciiTheme="minorHAnsi" w:eastAsia="Times New Roman" w:hAnsiTheme="minorHAnsi" w:cs="Arial"/>
                <w:sz w:val="28"/>
                <w:szCs w:val="44"/>
              </w:rPr>
            </w:pPr>
            <w:r w:rsidRPr="00AD39B8">
              <w:rPr>
                <w:rFonts w:asciiTheme="minorHAnsi" w:eastAsia="Times New Roman" w:hAnsiTheme="minorHAnsi" w:cs="Arial"/>
                <w:sz w:val="28"/>
                <w:szCs w:val="44"/>
              </w:rPr>
              <w:t>3907229</w:t>
            </w:r>
          </w:p>
        </w:tc>
      </w:tr>
      <w:tr w:rsidR="003440C8" w14:paraId="4901AEA4" w14:textId="77777777" w:rsidTr="00FE4E2D">
        <w:tc>
          <w:tcPr>
            <w:tcW w:w="3325" w:type="dxa"/>
            <w:shd w:val="clear" w:color="auto" w:fill="F2F2F2" w:themeFill="background1" w:themeFillShade="F2"/>
          </w:tcPr>
          <w:p w14:paraId="19247C22"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27BAEC22" w14:textId="7829D83C" w:rsidR="003440C8" w:rsidRPr="007B2512" w:rsidRDefault="00AD39B8"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 xml:space="preserve">April 11,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w:t>
            </w:r>
          </w:p>
        </w:tc>
      </w:tr>
      <w:tr w:rsidR="003440C8" w14:paraId="0578CBC7" w14:textId="77777777" w:rsidTr="00FE4E2D">
        <w:tc>
          <w:tcPr>
            <w:tcW w:w="3325" w:type="dxa"/>
            <w:shd w:val="clear" w:color="auto" w:fill="F2F2F2" w:themeFill="background1" w:themeFillShade="F2"/>
          </w:tcPr>
          <w:p w14:paraId="60959EB2"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66F5F9B0" w14:textId="4FB6AD69" w:rsidR="003440C8" w:rsidRPr="007B2512" w:rsidRDefault="00AD39B8"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 xml:space="preserve">April </w:t>
            </w:r>
            <w:r w:rsidR="001C5006">
              <w:rPr>
                <w:rFonts w:asciiTheme="minorHAnsi" w:eastAsia="Times New Roman" w:hAnsiTheme="minorHAnsi" w:cs="Arial"/>
                <w:sz w:val="28"/>
                <w:szCs w:val="44"/>
              </w:rPr>
              <w:t>25</w:t>
            </w:r>
            <w:r>
              <w:rPr>
                <w:rFonts w:asciiTheme="minorHAnsi" w:eastAsia="Times New Roman" w:hAnsiTheme="minorHAnsi" w:cs="Arial"/>
                <w:sz w:val="28"/>
                <w:szCs w:val="44"/>
              </w:rPr>
              <w:t xml:space="preserve">,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w:t>
            </w:r>
            <w:r w:rsidR="00D5778A">
              <w:rPr>
                <w:rFonts w:asciiTheme="minorHAnsi" w:eastAsia="Times New Roman" w:hAnsiTheme="minorHAnsi" w:cs="Arial"/>
                <w:sz w:val="28"/>
                <w:szCs w:val="44"/>
              </w:rPr>
              <w:t xml:space="preserve">at 2:00 PM </w:t>
            </w:r>
          </w:p>
        </w:tc>
      </w:tr>
    </w:tbl>
    <w:p w14:paraId="062E47EB" w14:textId="77777777" w:rsidR="00FE4E2D" w:rsidRDefault="00FE4E2D" w:rsidP="002C4DE0">
      <w:pPr>
        <w:tabs>
          <w:tab w:val="left" w:pos="900"/>
        </w:tabs>
        <w:spacing w:line="240" w:lineRule="auto"/>
      </w:pPr>
    </w:p>
    <w:p w14:paraId="3889C5CF" w14:textId="77777777" w:rsidR="00CC52FC" w:rsidRP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53490C07" w14:textId="77777777" w:rsidTr="00FE4E2D">
        <w:tc>
          <w:tcPr>
            <w:tcW w:w="3325" w:type="dxa"/>
            <w:shd w:val="clear" w:color="auto" w:fill="F2F2F2" w:themeFill="background1" w:themeFillShade="F2"/>
          </w:tcPr>
          <w:p w14:paraId="18765BF6" w14:textId="77777777" w:rsidR="003440C8" w:rsidRDefault="003440C8" w:rsidP="002C4DE0">
            <w:pPr>
              <w:spacing w:line="240" w:lineRule="auto"/>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0FB2A3F8"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6306FB56" w14:textId="77777777" w:rsidTr="00FE4E2D">
        <w:tc>
          <w:tcPr>
            <w:tcW w:w="3325" w:type="dxa"/>
            <w:shd w:val="clear" w:color="auto" w:fill="F2F2F2" w:themeFill="background1" w:themeFillShade="F2"/>
          </w:tcPr>
          <w:p w14:paraId="345F4575"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45F855F9"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674918E5" w14:textId="77777777" w:rsidTr="00FE4E2D">
        <w:tc>
          <w:tcPr>
            <w:tcW w:w="3325" w:type="dxa"/>
            <w:shd w:val="clear" w:color="auto" w:fill="F2F2F2" w:themeFill="background1" w:themeFillShade="F2"/>
          </w:tcPr>
          <w:p w14:paraId="1DE4EFD4"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72D16CD5"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052F6BD0" w14:textId="77777777" w:rsidTr="00FE4E2D">
        <w:tc>
          <w:tcPr>
            <w:tcW w:w="3325" w:type="dxa"/>
            <w:shd w:val="clear" w:color="auto" w:fill="F2F2F2" w:themeFill="background1" w:themeFillShade="F2"/>
          </w:tcPr>
          <w:p w14:paraId="7A4CEA38"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73C26F29" w14:textId="77777777" w:rsidR="003440C8" w:rsidRPr="007B2512" w:rsidRDefault="003440C8" w:rsidP="002C4DE0">
            <w:pPr>
              <w:spacing w:line="240" w:lineRule="auto"/>
              <w:rPr>
                <w:rFonts w:asciiTheme="minorHAnsi" w:eastAsia="Times New Roman" w:hAnsiTheme="minorHAnsi" w:cs="Arial"/>
                <w:sz w:val="36"/>
                <w:szCs w:val="44"/>
              </w:rPr>
            </w:pPr>
          </w:p>
        </w:tc>
      </w:tr>
    </w:tbl>
    <w:p w14:paraId="0747BE0B" w14:textId="77777777" w:rsidR="00CC52FC" w:rsidRDefault="00CC52FC" w:rsidP="002C4DE0">
      <w:pPr>
        <w:tabs>
          <w:tab w:val="left" w:pos="900"/>
        </w:tabs>
        <w:spacing w:line="240" w:lineRule="auto"/>
      </w:pPr>
    </w:p>
    <w:p w14:paraId="6652574D" w14:textId="77777777" w:rsidR="00CC52FC" w:rsidRDefault="00CC52FC" w:rsidP="002C4DE0">
      <w:pPr>
        <w:tabs>
          <w:tab w:val="left" w:pos="900"/>
        </w:tabs>
        <w:spacing w:line="240" w:lineRule="auto"/>
      </w:pPr>
    </w:p>
    <w:p w14:paraId="7FEC24B9" w14:textId="77777777" w:rsidR="00CC52FC" w:rsidRDefault="00CC52FC" w:rsidP="002C4DE0">
      <w:pPr>
        <w:tabs>
          <w:tab w:val="left" w:pos="900"/>
        </w:tabs>
        <w:spacing w:line="240" w:lineRule="auto"/>
      </w:pPr>
    </w:p>
    <w:p w14:paraId="2149C1CC" w14:textId="77777777" w:rsidR="00CC52FC" w:rsidRDefault="00CC52FC" w:rsidP="002C4DE0">
      <w:pPr>
        <w:tabs>
          <w:tab w:val="left" w:pos="900"/>
        </w:tabs>
        <w:spacing w:line="240" w:lineRule="auto"/>
      </w:pPr>
    </w:p>
    <w:p w14:paraId="5F6EB738" w14:textId="77777777" w:rsidR="00D46D78" w:rsidRDefault="00D46D78">
      <w:pPr>
        <w:spacing w:after="160" w:line="259" w:lineRule="auto"/>
      </w:pPr>
    </w:p>
    <w:p w14:paraId="3577DA4D" w14:textId="77777777" w:rsidR="00CC52FC" w:rsidRPr="00C76CF9" w:rsidRDefault="00CC52FC"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lastRenderedPageBreak/>
        <w:t xml:space="preserve">Section A: Introduction and Basic Information </w:t>
      </w:r>
    </w:p>
    <w:p w14:paraId="51FE9895" w14:textId="77777777" w:rsidR="00CC52FC" w:rsidRPr="000205E7" w:rsidRDefault="00CC52FC" w:rsidP="002C4DE0">
      <w:pPr>
        <w:pStyle w:val="NoSpacing"/>
        <w:rPr>
          <w:rFonts w:asciiTheme="minorHAnsi" w:hAnsiTheme="minorHAnsi" w:cstheme="minorHAnsi"/>
          <w:sz w:val="24"/>
          <w:szCs w:val="24"/>
        </w:rPr>
      </w:pPr>
    </w:p>
    <w:p w14:paraId="584F0ACE" w14:textId="77777777" w:rsidR="001C5006" w:rsidRPr="001C5006" w:rsidRDefault="00CC52FC" w:rsidP="001C5006">
      <w:pPr>
        <w:pStyle w:val="NoSpacing"/>
        <w:numPr>
          <w:ilvl w:val="0"/>
          <w:numId w:val="1"/>
        </w:numPr>
        <w:ind w:left="360"/>
        <w:rPr>
          <w:rFonts w:asciiTheme="minorHAnsi" w:hAnsiTheme="minorHAnsi" w:cstheme="minorHAnsi"/>
          <w:sz w:val="24"/>
          <w:szCs w:val="24"/>
        </w:rPr>
      </w:pPr>
      <w:r w:rsidRPr="001C5006">
        <w:rPr>
          <w:rFonts w:asciiTheme="minorHAnsi" w:hAnsiTheme="minorHAnsi" w:cstheme="minorHAnsi"/>
          <w:b/>
          <w:sz w:val="24"/>
          <w:szCs w:val="24"/>
          <w:u w:val="single"/>
        </w:rPr>
        <w:t>Purpose and Scope</w:t>
      </w:r>
      <w:r w:rsidRPr="001C5006">
        <w:rPr>
          <w:rFonts w:asciiTheme="minorHAnsi" w:hAnsiTheme="minorHAnsi" w:cstheme="minorHAnsi"/>
          <w:sz w:val="24"/>
          <w:szCs w:val="24"/>
        </w:rPr>
        <w:t xml:space="preserve">: </w:t>
      </w:r>
      <w:r w:rsidR="00D5778A" w:rsidRPr="001C5006">
        <w:rPr>
          <w:rFonts w:asciiTheme="minorHAnsi" w:hAnsiTheme="minorHAnsi" w:cstheme="minorHAnsi"/>
          <w:sz w:val="24"/>
          <w:szCs w:val="24"/>
        </w:rPr>
        <w:t xml:space="preserve">The University of Tennessee-Knoxville is seeking </w:t>
      </w:r>
      <w:r w:rsidR="00AD39B8" w:rsidRPr="001C5006">
        <w:rPr>
          <w:rFonts w:asciiTheme="minorHAnsi" w:hAnsiTheme="minorHAnsi" w:cstheme="minorHAnsi"/>
          <w:sz w:val="24"/>
          <w:szCs w:val="24"/>
        </w:rPr>
        <w:t xml:space="preserve">proposals </w:t>
      </w:r>
      <w:r w:rsidR="001C5006" w:rsidRPr="001C5006">
        <w:rPr>
          <w:rFonts w:asciiTheme="minorHAnsi" w:hAnsiTheme="minorHAnsi" w:cstheme="minorHAnsi"/>
          <w:sz w:val="24"/>
          <w:szCs w:val="24"/>
        </w:rPr>
        <w:t xml:space="preserve">from experienced pyrotechnics providers for large-scale event services at Neyland Stadium, the Food City Center, and other athletic venues on campus. The project aims to enhance event experiences through captivating pyrotechnic displays while prioritizing safety, compliance with regulations, and professional execution. The selected provider will coordinate with university officials, </w:t>
      </w:r>
      <w:proofErr w:type="gramStart"/>
      <w:r w:rsidR="001C5006" w:rsidRPr="001C5006">
        <w:rPr>
          <w:rFonts w:asciiTheme="minorHAnsi" w:hAnsiTheme="minorHAnsi" w:cstheme="minorHAnsi"/>
          <w:sz w:val="24"/>
          <w:szCs w:val="24"/>
        </w:rPr>
        <w:t>supply</w:t>
      </w:r>
      <w:proofErr w:type="gramEnd"/>
      <w:r w:rsidR="001C5006" w:rsidRPr="001C5006">
        <w:rPr>
          <w:rFonts w:asciiTheme="minorHAnsi" w:hAnsiTheme="minorHAnsi" w:cstheme="minorHAnsi"/>
          <w:sz w:val="24"/>
          <w:szCs w:val="24"/>
        </w:rPr>
        <w:t xml:space="preserve"> and set up pyrotechnic equipment, execute displays according to predetermined schedules, ensure compliance with regulatory requirements, and conduct post-event breakdown and cleanup. Interested parties must submit detailed proposals addressing qualifications, experience, approach, and compliance with technical specifications by the specified deadline.</w:t>
      </w:r>
    </w:p>
    <w:p w14:paraId="389DF5D4" w14:textId="6B5E74BF" w:rsidR="00CC52FC" w:rsidRPr="001C5006" w:rsidRDefault="00CC52FC" w:rsidP="001C5006">
      <w:pPr>
        <w:pStyle w:val="NoSpacing"/>
        <w:ind w:left="360"/>
        <w:rPr>
          <w:rFonts w:asciiTheme="minorHAnsi" w:hAnsiTheme="minorHAnsi" w:cstheme="minorHAnsi"/>
          <w:sz w:val="24"/>
          <w:szCs w:val="24"/>
        </w:rPr>
      </w:pPr>
    </w:p>
    <w:p w14:paraId="1EEC8A21"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737BCBBB" w14:textId="77777777" w:rsidR="00CC52FC" w:rsidRDefault="00CC52FC" w:rsidP="002C4DE0">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6F43CA87" w14:textId="77777777" w:rsidR="00CC52FC" w:rsidRPr="000205E7" w:rsidRDefault="00CC52FC" w:rsidP="002C4DE0">
      <w:pPr>
        <w:pStyle w:val="NoSpacing"/>
        <w:rPr>
          <w:rFonts w:asciiTheme="minorHAnsi" w:hAnsiTheme="minorHAnsi" w:cstheme="minorHAnsi"/>
          <w:sz w:val="24"/>
          <w:szCs w:val="24"/>
          <w:u w:val="single"/>
        </w:rPr>
      </w:pPr>
    </w:p>
    <w:p w14:paraId="16BD9827"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0282D46F" w14:textId="777777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701C45A4" w14:textId="77777777" w:rsidR="009609EA" w:rsidRPr="000205E7" w:rsidRDefault="009609EA" w:rsidP="002C4DE0">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07A8A1F0"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9609EA">
        <w:rPr>
          <w:rFonts w:asciiTheme="minorHAnsi" w:hAnsiTheme="minorHAnsi" w:cstheme="minorHAnsi"/>
          <w:sz w:val="24"/>
          <w:szCs w:val="24"/>
        </w:rPr>
        <w:t>02</w:t>
      </w:r>
    </w:p>
    <w:p w14:paraId="6B593A3E" w14:textId="77777777" w:rsidR="00CC52FC" w:rsidRDefault="00CC52FC" w:rsidP="002C4DE0">
      <w:pPr>
        <w:pStyle w:val="NoSpacing"/>
        <w:ind w:firstLine="720"/>
        <w:rPr>
          <w:rFonts w:asciiTheme="minorHAnsi" w:hAnsiTheme="minorHAnsi" w:cstheme="minorHAnsi"/>
          <w:sz w:val="24"/>
          <w:szCs w:val="24"/>
        </w:rPr>
      </w:pPr>
    </w:p>
    <w:p w14:paraId="591C565B" w14:textId="77777777" w:rsidR="00CC52FC" w:rsidRPr="000205E7" w:rsidRDefault="00CC52FC" w:rsidP="002C4DE0">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2F29C863" w14:textId="77777777" w:rsidR="00CC52FC" w:rsidRPr="000205E7" w:rsidRDefault="00B404EF" w:rsidP="002C4DE0">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70F943F2" w14:textId="4E37EFED"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D5778A">
        <w:rPr>
          <w:rFonts w:asciiTheme="minorHAnsi" w:hAnsiTheme="minorHAnsi" w:cstheme="minorHAnsi"/>
          <w:sz w:val="24"/>
          <w:szCs w:val="24"/>
        </w:rPr>
        <w:t>Logan Hurt</w:t>
      </w:r>
    </w:p>
    <w:p w14:paraId="25B08DC8" w14:textId="4F26E5C5" w:rsidR="00CC52FC" w:rsidRPr="000205E7" w:rsidRDefault="00CC52FC"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1C5006">
        <w:rPr>
          <w:rFonts w:asciiTheme="minorHAnsi" w:hAnsiTheme="minorHAnsi" w:cstheme="minorHAnsi"/>
          <w:sz w:val="24"/>
          <w:szCs w:val="24"/>
        </w:rPr>
        <w:t xml:space="preserve">Strategic Sourcing Manager </w:t>
      </w:r>
    </w:p>
    <w:p w14:paraId="013BF6AB" w14:textId="6D5DB7C5"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Email: </w:t>
      </w:r>
      <w:r w:rsidR="00D5778A">
        <w:rPr>
          <w:rFonts w:asciiTheme="minorHAnsi" w:hAnsiTheme="minorHAnsi" w:cstheme="minorHAnsi"/>
          <w:sz w:val="24"/>
          <w:szCs w:val="24"/>
        </w:rPr>
        <w:t>lhurt2@utk.edu</w:t>
      </w:r>
    </w:p>
    <w:p w14:paraId="7472BCC2" w14:textId="0F3C219E" w:rsidR="00D34A7D" w:rsidRPr="000205E7" w:rsidRDefault="00D34A7D" w:rsidP="002C4DE0">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D5778A">
        <w:rPr>
          <w:rFonts w:asciiTheme="minorHAnsi" w:hAnsiTheme="minorHAnsi" w:cstheme="minorHAnsi"/>
          <w:sz w:val="24"/>
          <w:szCs w:val="24"/>
        </w:rPr>
        <w:t xml:space="preserve"> (865) 974-3626</w:t>
      </w:r>
    </w:p>
    <w:p w14:paraId="70C058FC" w14:textId="77777777" w:rsidR="00CC52FC" w:rsidRPr="000205E7" w:rsidRDefault="00CC52FC" w:rsidP="002C4DE0">
      <w:pPr>
        <w:pStyle w:val="NoSpacing"/>
        <w:ind w:left="2160"/>
        <w:rPr>
          <w:rFonts w:asciiTheme="minorHAnsi" w:hAnsiTheme="minorHAnsi" w:cstheme="minorHAnsi"/>
          <w:sz w:val="24"/>
          <w:szCs w:val="24"/>
        </w:rPr>
      </w:pPr>
    </w:p>
    <w:p w14:paraId="1E22A054" w14:textId="77777777" w:rsidR="00672389" w:rsidRDefault="00CC52FC" w:rsidP="002C4DE0">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316D75D5" w14:textId="77777777" w:rsidR="00672389" w:rsidRDefault="00672389" w:rsidP="002C4DE0">
      <w:pPr>
        <w:pStyle w:val="NoSpacing"/>
        <w:ind w:left="450"/>
        <w:rPr>
          <w:rFonts w:asciiTheme="minorHAnsi" w:hAnsiTheme="minorHAnsi" w:cstheme="minorHAnsi"/>
          <w:sz w:val="24"/>
          <w:szCs w:val="24"/>
        </w:rPr>
      </w:pPr>
    </w:p>
    <w:p w14:paraId="4F4E3283" w14:textId="77777777" w:rsidR="007C369E" w:rsidRPr="00672389" w:rsidRDefault="007C369E" w:rsidP="002C4DE0">
      <w:pPr>
        <w:pStyle w:val="NoSpacing"/>
        <w:numPr>
          <w:ilvl w:val="0"/>
          <w:numId w:val="1"/>
        </w:numPr>
        <w:ind w:left="360"/>
        <w:rPr>
          <w:rFonts w:asciiTheme="minorHAnsi" w:hAnsiTheme="minorHAnsi" w:cstheme="minorHAnsi"/>
          <w:sz w:val="24"/>
          <w:szCs w:val="24"/>
        </w:rPr>
      </w:pPr>
      <w:r w:rsidRPr="00672389">
        <w:rPr>
          <w:rFonts w:asciiTheme="minorHAnsi" w:hAnsiTheme="minorHAnsi" w:cstheme="minorHAnsi"/>
          <w:b/>
          <w:sz w:val="24"/>
          <w:szCs w:val="24"/>
          <w:u w:val="single"/>
        </w:rPr>
        <w:t>Terms and Conditions</w:t>
      </w:r>
      <w:r w:rsidRPr="00672389">
        <w:rPr>
          <w:rFonts w:asciiTheme="minorHAnsi" w:hAnsiTheme="minorHAnsi" w:cstheme="minorHAnsi"/>
          <w:sz w:val="24"/>
          <w:szCs w:val="24"/>
        </w:rPr>
        <w:t xml:space="preserve">: By responding to this solicitation, the respondent agrees to the University’s </w:t>
      </w:r>
      <w:r w:rsidR="00083A6D" w:rsidRPr="00672389">
        <w:rPr>
          <w:rFonts w:asciiTheme="minorHAnsi" w:hAnsiTheme="minorHAnsi" w:cstheme="minorHAnsi"/>
          <w:sz w:val="24"/>
          <w:szCs w:val="24"/>
        </w:rPr>
        <w:t>purchasing terms and conditions</w:t>
      </w:r>
      <w:r w:rsidR="00923A8A" w:rsidRPr="00672389">
        <w:rPr>
          <w:rFonts w:asciiTheme="minorHAnsi" w:hAnsiTheme="minorHAnsi" w:cstheme="minorHAnsi"/>
          <w:sz w:val="24"/>
          <w:szCs w:val="24"/>
        </w:rPr>
        <w:t xml:space="preserve">, which are attached in </w:t>
      </w:r>
      <w:r w:rsidR="00257756" w:rsidRPr="00672389">
        <w:rPr>
          <w:rFonts w:asciiTheme="minorHAnsi" w:hAnsiTheme="minorHAnsi" w:cstheme="minorHAnsi"/>
          <w:sz w:val="24"/>
          <w:szCs w:val="24"/>
        </w:rPr>
        <w:t xml:space="preserve">Schedule </w:t>
      </w:r>
      <w:r w:rsidR="007A0B61">
        <w:rPr>
          <w:rFonts w:asciiTheme="minorHAnsi" w:hAnsiTheme="minorHAnsi" w:cstheme="minorHAnsi"/>
          <w:sz w:val="24"/>
          <w:szCs w:val="24"/>
        </w:rPr>
        <w:t>1</w:t>
      </w:r>
      <w:r w:rsidR="00923A8A" w:rsidRPr="00672389">
        <w:rPr>
          <w:rFonts w:asciiTheme="minorHAnsi" w:hAnsiTheme="minorHAnsi" w:cstheme="minorHAnsi"/>
          <w:sz w:val="24"/>
          <w:szCs w:val="24"/>
        </w:rPr>
        <w:t>.</w:t>
      </w:r>
    </w:p>
    <w:p w14:paraId="05F4A608" w14:textId="77777777" w:rsidR="007C369E" w:rsidRPr="00455F67" w:rsidRDefault="007C369E" w:rsidP="002C4DE0">
      <w:pPr>
        <w:pStyle w:val="NoSpacing"/>
        <w:ind w:left="360"/>
        <w:rPr>
          <w:rFonts w:asciiTheme="minorHAnsi" w:hAnsiTheme="minorHAnsi" w:cstheme="minorHAnsi"/>
          <w:sz w:val="24"/>
          <w:szCs w:val="24"/>
        </w:rPr>
      </w:pPr>
    </w:p>
    <w:p w14:paraId="55655A74" w14:textId="698AB6B1" w:rsidR="00CC52FC" w:rsidRDefault="00CC52FC" w:rsidP="00957806">
      <w:pPr>
        <w:pStyle w:val="NoSpacing"/>
        <w:numPr>
          <w:ilvl w:val="0"/>
          <w:numId w:val="1"/>
        </w:numPr>
        <w:ind w:left="360"/>
        <w:rPr>
          <w:rFonts w:asciiTheme="minorHAnsi" w:hAnsiTheme="minorHAnsi" w:cstheme="minorHAnsi"/>
          <w:sz w:val="24"/>
          <w:szCs w:val="24"/>
        </w:rPr>
      </w:pPr>
      <w:r w:rsidRPr="00D5778A">
        <w:rPr>
          <w:rFonts w:asciiTheme="minorHAnsi" w:hAnsiTheme="minorHAnsi" w:cstheme="minorHAnsi"/>
          <w:b/>
          <w:sz w:val="24"/>
          <w:szCs w:val="24"/>
          <w:u w:val="single"/>
        </w:rPr>
        <w:t>Term</w:t>
      </w:r>
      <w:r w:rsidRPr="00D5778A">
        <w:rPr>
          <w:rFonts w:asciiTheme="minorHAnsi" w:hAnsiTheme="minorHAnsi" w:cstheme="minorHAnsi"/>
          <w:sz w:val="24"/>
          <w:szCs w:val="24"/>
        </w:rPr>
        <w:t xml:space="preserve">: The initial term of contracts resulting from this solicitation will be from </w:t>
      </w:r>
      <w:r w:rsidR="001C5006">
        <w:rPr>
          <w:rFonts w:asciiTheme="minorHAnsi" w:hAnsiTheme="minorHAnsi" w:cstheme="minorHAnsi"/>
          <w:sz w:val="24"/>
          <w:szCs w:val="24"/>
        </w:rPr>
        <w:t>7</w:t>
      </w:r>
      <w:r w:rsidR="00D5778A" w:rsidRPr="00D5778A">
        <w:rPr>
          <w:rFonts w:asciiTheme="minorHAnsi" w:hAnsiTheme="minorHAnsi" w:cstheme="minorHAnsi"/>
          <w:sz w:val="24"/>
          <w:szCs w:val="24"/>
        </w:rPr>
        <w:t>/1/2</w:t>
      </w:r>
      <w:r w:rsidR="001C5006">
        <w:rPr>
          <w:rFonts w:asciiTheme="minorHAnsi" w:hAnsiTheme="minorHAnsi" w:cstheme="minorHAnsi"/>
          <w:sz w:val="24"/>
          <w:szCs w:val="24"/>
        </w:rPr>
        <w:t>4</w:t>
      </w:r>
      <w:r w:rsidRPr="00D5778A">
        <w:rPr>
          <w:rFonts w:asciiTheme="minorHAnsi" w:hAnsiTheme="minorHAnsi" w:cstheme="minorHAnsi"/>
          <w:sz w:val="24"/>
          <w:szCs w:val="24"/>
        </w:rPr>
        <w:t xml:space="preserve"> to</w:t>
      </w:r>
      <w:r w:rsidR="00D5778A">
        <w:rPr>
          <w:rFonts w:asciiTheme="minorHAnsi" w:hAnsiTheme="minorHAnsi" w:cstheme="minorHAnsi"/>
          <w:sz w:val="24"/>
          <w:szCs w:val="24"/>
        </w:rPr>
        <w:t xml:space="preserve"> </w:t>
      </w:r>
      <w:r w:rsidR="001C5006">
        <w:rPr>
          <w:rFonts w:asciiTheme="minorHAnsi" w:hAnsiTheme="minorHAnsi" w:cstheme="minorHAnsi"/>
          <w:sz w:val="24"/>
          <w:szCs w:val="24"/>
        </w:rPr>
        <w:t>6/30/2029</w:t>
      </w:r>
      <w:r w:rsidR="00D5778A">
        <w:rPr>
          <w:rFonts w:asciiTheme="minorHAnsi" w:hAnsiTheme="minorHAnsi" w:cstheme="minorHAnsi"/>
          <w:sz w:val="24"/>
          <w:szCs w:val="24"/>
        </w:rPr>
        <w:t xml:space="preserve">. </w:t>
      </w:r>
    </w:p>
    <w:p w14:paraId="2E25ADAC" w14:textId="77777777" w:rsidR="00D5778A" w:rsidRPr="00D5778A" w:rsidRDefault="00D5778A" w:rsidP="00D5778A">
      <w:pPr>
        <w:pStyle w:val="NoSpacing"/>
        <w:rPr>
          <w:rFonts w:asciiTheme="minorHAnsi" w:hAnsiTheme="minorHAnsi" w:cstheme="minorHAnsi"/>
          <w:sz w:val="24"/>
          <w:szCs w:val="24"/>
        </w:rPr>
      </w:pPr>
    </w:p>
    <w:p w14:paraId="2C4BFB18" w14:textId="4CF283BD"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D5778A">
        <w:rPr>
          <w:rFonts w:asciiTheme="minorHAnsi" w:hAnsiTheme="minorHAnsi" w:cstheme="minorHAnsi"/>
          <w:sz w:val="24"/>
          <w:szCs w:val="24"/>
        </w:rPr>
        <w:t>one r</w:t>
      </w:r>
      <w:r>
        <w:rPr>
          <w:rFonts w:asciiTheme="minorHAnsi" w:hAnsiTheme="minorHAnsi" w:cstheme="minorHAnsi"/>
          <w:sz w:val="24"/>
          <w:szCs w:val="24"/>
        </w:rPr>
        <w:t xml:space="preserve">espondent, unless the University deems it to be in its best interest to </w:t>
      </w:r>
      <w:proofErr w:type="gramStart"/>
      <w:r>
        <w:rPr>
          <w:rFonts w:asciiTheme="minorHAnsi" w:hAnsiTheme="minorHAnsi" w:cstheme="minorHAnsi"/>
          <w:sz w:val="24"/>
          <w:szCs w:val="24"/>
        </w:rPr>
        <w:t>award</w:t>
      </w:r>
      <w:proofErr w:type="gramEnd"/>
      <w:r>
        <w:rPr>
          <w:rFonts w:asciiTheme="minorHAnsi" w:hAnsiTheme="minorHAnsi" w:cstheme="minorHAnsi"/>
          <w:sz w:val="24"/>
          <w:szCs w:val="24"/>
        </w:rPr>
        <w:t xml:space="preserve"> to fewer, or more, respondents.  The University retains sole discretion over this decision. </w:t>
      </w:r>
      <w:r w:rsidR="00903F0F">
        <w:rPr>
          <w:rFonts w:asciiTheme="minorHAnsi" w:hAnsiTheme="minorHAnsi" w:cstheme="minorHAnsi"/>
          <w:sz w:val="24"/>
          <w:szCs w:val="24"/>
        </w:rPr>
        <w:t xml:space="preserve">The University may cancel this solicitation at any time for any reason.  The University’s decision to cancel the </w:t>
      </w:r>
      <w:r w:rsidR="00903F0F">
        <w:rPr>
          <w:rFonts w:asciiTheme="minorHAnsi" w:hAnsiTheme="minorHAnsi" w:cstheme="minorHAnsi"/>
          <w:sz w:val="24"/>
          <w:szCs w:val="24"/>
        </w:rPr>
        <w:lastRenderedPageBreak/>
        <w:t>solicitation is within the University’s sole discretion.</w:t>
      </w:r>
    </w:p>
    <w:p w14:paraId="79EC9138" w14:textId="77777777" w:rsidR="00CC52FC" w:rsidRPr="002A50A1" w:rsidRDefault="00CC52FC" w:rsidP="002C4DE0">
      <w:pPr>
        <w:pStyle w:val="NoSpacing"/>
        <w:ind w:left="360"/>
        <w:rPr>
          <w:rFonts w:asciiTheme="minorHAnsi" w:hAnsiTheme="minorHAnsi" w:cstheme="minorHAnsi"/>
          <w:sz w:val="24"/>
          <w:szCs w:val="24"/>
        </w:rPr>
      </w:pPr>
    </w:p>
    <w:p w14:paraId="038C18D1" w14:textId="77777777" w:rsidR="005648C3" w:rsidRDefault="00CC52FC" w:rsidP="002C4DE0">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including other universities, local government agencies, and state-government agencies (located in any state within the United States)</w:t>
      </w:r>
      <w:r w:rsidR="00B71C3E" w:rsidRPr="00B71C3E">
        <w:rPr>
          <w:rFonts w:asciiTheme="minorHAnsi" w:hAnsiTheme="minorHAnsi" w:cstheme="minorHAnsi"/>
          <w:sz w:val="24"/>
          <w:szCs w:val="24"/>
        </w:rPr>
        <w:t>.  The third-party entity may negotiate its own terms with the supplier</w:t>
      </w:r>
      <w:r w:rsidR="00B71C3E">
        <w:rPr>
          <w:rFonts w:asciiTheme="minorHAnsi" w:hAnsiTheme="minorHAnsi" w:cstheme="minorHAnsi"/>
          <w:sz w:val="24"/>
          <w:szCs w:val="24"/>
        </w:rPr>
        <w:t>.</w:t>
      </w:r>
    </w:p>
    <w:p w14:paraId="23E4CF31" w14:textId="77777777" w:rsidR="00CC52FC" w:rsidRPr="00892312" w:rsidRDefault="00CC52FC" w:rsidP="001C5006">
      <w:pPr>
        <w:pStyle w:val="NoSpacing"/>
        <w:rPr>
          <w:rFonts w:asciiTheme="minorHAnsi" w:hAnsiTheme="minorHAnsi" w:cstheme="minorHAnsi"/>
          <w:sz w:val="24"/>
          <w:szCs w:val="24"/>
        </w:rPr>
      </w:pPr>
    </w:p>
    <w:p w14:paraId="7B2F90C9" w14:textId="2A133CE0" w:rsidR="00CC52FC" w:rsidRPr="00D5778A" w:rsidRDefault="00CC52FC" w:rsidP="00D5778A">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sidR="00DB0504">
        <w:rPr>
          <w:rFonts w:asciiTheme="minorHAnsi" w:hAnsiTheme="minorHAnsi" w:cstheme="minorHAnsi"/>
          <w:b/>
          <w:sz w:val="24"/>
          <w:szCs w:val="24"/>
          <w:u w:val="single"/>
        </w:rPr>
        <w:t xml:space="preserve"> Location</w:t>
      </w:r>
      <w:r>
        <w:rPr>
          <w:rFonts w:asciiTheme="minorHAnsi" w:hAnsiTheme="minorHAnsi" w:cstheme="minorHAnsi"/>
          <w:sz w:val="24"/>
          <w:szCs w:val="24"/>
        </w:rPr>
        <w:t xml:space="preserve">: </w:t>
      </w:r>
    </w:p>
    <w:p w14:paraId="7B45FB81" w14:textId="72C32F5F" w:rsidR="00CC52FC" w:rsidRPr="00892312" w:rsidRDefault="00CC52FC" w:rsidP="00D5778A">
      <w:pPr>
        <w:pStyle w:val="ListParagraph"/>
        <w:widowControl w:val="0"/>
        <w:spacing w:line="240" w:lineRule="auto"/>
        <w:ind w:left="360"/>
        <w:rPr>
          <w:rFonts w:asciiTheme="minorHAnsi" w:hAnsiTheme="minorHAnsi" w:cstheme="minorHAnsi"/>
          <w:sz w:val="24"/>
          <w:szCs w:val="24"/>
        </w:rPr>
      </w:pPr>
      <w:r w:rsidRPr="00504B91">
        <w:rPr>
          <w:rFonts w:asciiTheme="minorHAnsi" w:hAnsiTheme="minorHAnsi" w:cstheme="minorHAnsi"/>
          <w:sz w:val="24"/>
          <w:szCs w:val="24"/>
          <w:u w:val="single"/>
        </w:rPr>
        <w:t>No Pre-Proposal Conference</w:t>
      </w:r>
      <w:r w:rsidRPr="00504B91">
        <w:rPr>
          <w:rFonts w:asciiTheme="minorHAnsi" w:hAnsiTheme="minorHAnsi" w:cstheme="minorHAnsi"/>
          <w:sz w:val="24"/>
          <w:szCs w:val="24"/>
        </w:rPr>
        <w:t xml:space="preserve">: The University will not hold a pre-proposal conference for this solicitation. </w:t>
      </w:r>
    </w:p>
    <w:p w14:paraId="46CE7B30" w14:textId="77777777" w:rsidR="00CC52FC" w:rsidRPr="00CB7611"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7A58B148" w14:textId="77777777" w:rsidR="00CC52FC" w:rsidRDefault="00CC52FC" w:rsidP="002C4DE0">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5C357E65" w14:textId="77777777" w:rsidTr="00455F67">
        <w:tc>
          <w:tcPr>
            <w:tcW w:w="4385" w:type="dxa"/>
          </w:tcPr>
          <w:p w14:paraId="379616FC"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13FC96E5" w14:textId="65A5AF43" w:rsidR="00CC52FC" w:rsidRPr="00D5778A" w:rsidRDefault="001C5006" w:rsidP="00D5778A">
            <w:pPr>
              <w:pStyle w:val="NoSpacing"/>
              <w:jc w:val="center"/>
              <w:rPr>
                <w:rFonts w:asciiTheme="minorHAnsi" w:hAnsiTheme="minorHAnsi" w:cstheme="minorHAnsi"/>
                <w:sz w:val="24"/>
                <w:szCs w:val="24"/>
              </w:rPr>
            </w:pPr>
            <w:r>
              <w:rPr>
                <w:rFonts w:asciiTheme="minorHAnsi" w:hAnsiTheme="minorHAnsi" w:cstheme="minorHAnsi"/>
                <w:sz w:val="24"/>
                <w:szCs w:val="24"/>
              </w:rPr>
              <w:t>April 11, 2024</w:t>
            </w:r>
          </w:p>
        </w:tc>
      </w:tr>
      <w:tr w:rsidR="00CC52FC" w14:paraId="6C418561" w14:textId="77777777" w:rsidTr="00455F67">
        <w:tc>
          <w:tcPr>
            <w:tcW w:w="4385" w:type="dxa"/>
          </w:tcPr>
          <w:p w14:paraId="0B3ED32B"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Mandatory Pre-Proposal Conference</w:t>
            </w:r>
          </w:p>
        </w:tc>
        <w:tc>
          <w:tcPr>
            <w:tcW w:w="4245" w:type="dxa"/>
          </w:tcPr>
          <w:p w14:paraId="0437D05F" w14:textId="19211A14" w:rsidR="00CC52FC" w:rsidRPr="00D5778A" w:rsidRDefault="00D5778A" w:rsidP="00D5778A">
            <w:pPr>
              <w:pStyle w:val="NoSpacing"/>
              <w:jc w:val="center"/>
              <w:rPr>
                <w:rFonts w:asciiTheme="minorHAnsi" w:hAnsiTheme="minorHAnsi" w:cstheme="minorHAnsi"/>
                <w:sz w:val="24"/>
                <w:szCs w:val="24"/>
              </w:rPr>
            </w:pPr>
            <w:r>
              <w:rPr>
                <w:rFonts w:asciiTheme="minorHAnsi" w:hAnsiTheme="minorHAnsi" w:cstheme="minorHAnsi"/>
                <w:sz w:val="24"/>
                <w:szCs w:val="24"/>
              </w:rPr>
              <w:t>N/A</w:t>
            </w:r>
          </w:p>
        </w:tc>
      </w:tr>
      <w:tr w:rsidR="00CC52FC" w14:paraId="6675B1E1" w14:textId="77777777" w:rsidTr="00455F67">
        <w:tc>
          <w:tcPr>
            <w:tcW w:w="4385" w:type="dxa"/>
          </w:tcPr>
          <w:p w14:paraId="28A6D546"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23509BCC" w14:textId="081575C8" w:rsidR="00CC52FC" w:rsidRPr="00D5778A" w:rsidRDefault="001C5006" w:rsidP="00D5778A">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April 18, </w:t>
            </w:r>
            <w:proofErr w:type="gramStart"/>
            <w:r>
              <w:rPr>
                <w:rFonts w:asciiTheme="minorHAnsi" w:hAnsiTheme="minorHAnsi" w:cstheme="minorHAnsi"/>
                <w:sz w:val="24"/>
                <w:szCs w:val="24"/>
              </w:rPr>
              <w:t>2024</w:t>
            </w:r>
            <w:proofErr w:type="gramEnd"/>
            <w:r>
              <w:rPr>
                <w:rFonts w:asciiTheme="minorHAnsi" w:hAnsiTheme="minorHAnsi" w:cstheme="minorHAnsi"/>
                <w:sz w:val="24"/>
                <w:szCs w:val="24"/>
              </w:rPr>
              <w:t xml:space="preserve"> </w:t>
            </w:r>
          </w:p>
        </w:tc>
      </w:tr>
      <w:tr w:rsidR="00CC52FC" w14:paraId="3BBED1D0" w14:textId="77777777" w:rsidTr="00455F67">
        <w:tc>
          <w:tcPr>
            <w:tcW w:w="4385" w:type="dxa"/>
          </w:tcPr>
          <w:p w14:paraId="4C35FD99"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4E4EAFE5" w14:textId="26FD2D2D" w:rsidR="00CC52FC" w:rsidRPr="00D5778A" w:rsidRDefault="001C5006" w:rsidP="00D5778A">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April 25, </w:t>
            </w:r>
            <w:proofErr w:type="gramStart"/>
            <w:r>
              <w:rPr>
                <w:rFonts w:asciiTheme="minorHAnsi" w:hAnsiTheme="minorHAnsi" w:cstheme="minorHAnsi"/>
                <w:sz w:val="24"/>
                <w:szCs w:val="24"/>
              </w:rPr>
              <w:t>2024</w:t>
            </w:r>
            <w:proofErr w:type="gramEnd"/>
            <w:r>
              <w:rPr>
                <w:rFonts w:asciiTheme="minorHAnsi" w:hAnsiTheme="minorHAnsi" w:cstheme="minorHAnsi"/>
                <w:sz w:val="24"/>
                <w:szCs w:val="24"/>
              </w:rPr>
              <w:t xml:space="preserve"> </w:t>
            </w:r>
            <w:r w:rsidR="00D5778A">
              <w:rPr>
                <w:rFonts w:asciiTheme="minorHAnsi" w:hAnsiTheme="minorHAnsi" w:cstheme="minorHAnsi"/>
                <w:sz w:val="24"/>
                <w:szCs w:val="24"/>
              </w:rPr>
              <w:t>at 2:00 PM</w:t>
            </w:r>
          </w:p>
        </w:tc>
      </w:tr>
      <w:tr w:rsidR="00CC52FC" w14:paraId="6CA7E749" w14:textId="77777777" w:rsidTr="00455F67">
        <w:tc>
          <w:tcPr>
            <w:tcW w:w="4385" w:type="dxa"/>
          </w:tcPr>
          <w:p w14:paraId="2283E870" w14:textId="088970D0" w:rsidR="00CC52FC" w:rsidRDefault="00C420E7" w:rsidP="002C4DE0">
            <w:pPr>
              <w:pStyle w:val="NoSpacing"/>
              <w:rPr>
                <w:rFonts w:asciiTheme="minorHAnsi" w:hAnsiTheme="minorHAnsi" w:cstheme="minorHAnsi"/>
                <w:sz w:val="24"/>
                <w:szCs w:val="24"/>
              </w:rPr>
            </w:pPr>
            <w:r>
              <w:rPr>
                <w:rFonts w:asciiTheme="minorHAnsi" w:hAnsiTheme="minorHAnsi" w:cstheme="minorHAnsi"/>
                <w:sz w:val="24"/>
                <w:szCs w:val="24"/>
              </w:rPr>
              <w:t xml:space="preserve">In-Person Live Demonstrations </w:t>
            </w:r>
          </w:p>
        </w:tc>
        <w:tc>
          <w:tcPr>
            <w:tcW w:w="4245" w:type="dxa"/>
          </w:tcPr>
          <w:p w14:paraId="3978DC4A" w14:textId="30F51495" w:rsidR="00CC52FC" w:rsidRPr="00D5778A" w:rsidRDefault="00C420E7" w:rsidP="00D5778A">
            <w:pPr>
              <w:pStyle w:val="NoSpacing"/>
              <w:jc w:val="center"/>
              <w:rPr>
                <w:rFonts w:asciiTheme="minorHAnsi" w:hAnsiTheme="minorHAnsi" w:cstheme="minorHAnsi"/>
                <w:sz w:val="24"/>
                <w:szCs w:val="24"/>
              </w:rPr>
            </w:pPr>
            <w:r>
              <w:rPr>
                <w:rFonts w:asciiTheme="minorHAnsi" w:hAnsiTheme="minorHAnsi" w:cstheme="minorHAnsi"/>
                <w:sz w:val="24"/>
                <w:szCs w:val="24"/>
              </w:rPr>
              <w:t>To Be Determined after Submission Date</w:t>
            </w:r>
          </w:p>
        </w:tc>
      </w:tr>
    </w:tbl>
    <w:p w14:paraId="0060C4A6" w14:textId="77777777" w:rsidR="00CC52FC" w:rsidRDefault="00CC52FC" w:rsidP="002C4DE0">
      <w:pPr>
        <w:tabs>
          <w:tab w:val="left" w:pos="900"/>
        </w:tabs>
        <w:spacing w:line="240" w:lineRule="auto"/>
      </w:pPr>
    </w:p>
    <w:p w14:paraId="1B64C1CA" w14:textId="77777777" w:rsidR="00CC52FC" w:rsidRPr="00C76CF9" w:rsidRDefault="00CC52FC" w:rsidP="002C4DE0">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t xml:space="preserve">Section B: Instructions and Evaluation Criteria  </w:t>
      </w:r>
    </w:p>
    <w:p w14:paraId="036B1FAE" w14:textId="77777777" w:rsidR="00CC52FC" w:rsidRDefault="00CC52FC" w:rsidP="002C4DE0">
      <w:pPr>
        <w:pStyle w:val="NoSpacing"/>
        <w:rPr>
          <w:rFonts w:asciiTheme="minorHAnsi" w:hAnsiTheme="minorHAnsi" w:cstheme="minorHAnsi"/>
          <w:sz w:val="24"/>
          <w:szCs w:val="24"/>
        </w:rPr>
      </w:pPr>
    </w:p>
    <w:p w14:paraId="3FAB080A" w14:textId="77777777" w:rsidR="00CC52FC" w:rsidRPr="007C22EE" w:rsidRDefault="00CC52FC" w:rsidP="002C4DE0">
      <w:pPr>
        <w:pStyle w:val="NoSpacing"/>
        <w:ind w:left="360"/>
        <w:rPr>
          <w:sz w:val="24"/>
        </w:rPr>
      </w:pPr>
    </w:p>
    <w:p w14:paraId="1F603975" w14:textId="77777777" w:rsidR="00CC52FC" w:rsidRDefault="00CC52FC" w:rsidP="002C4DE0">
      <w:pPr>
        <w:pStyle w:val="NoSpacing"/>
        <w:numPr>
          <w:ilvl w:val="0"/>
          <w:numId w:val="2"/>
        </w:numPr>
        <w:ind w:left="360"/>
        <w:rPr>
          <w:sz w:val="24"/>
        </w:rPr>
      </w:pPr>
      <w:r w:rsidRPr="007C22EE">
        <w:rPr>
          <w:b/>
          <w:sz w:val="24"/>
          <w:u w:val="single"/>
        </w:rPr>
        <w:t>Proposal Submission</w:t>
      </w:r>
      <w:r w:rsidRPr="007C22EE">
        <w:rPr>
          <w:sz w:val="24"/>
        </w:rPr>
        <w:t xml:space="preserve">: </w:t>
      </w:r>
    </w:p>
    <w:p w14:paraId="4988FE77" w14:textId="77777777" w:rsidR="00CC52FC" w:rsidRPr="00CC52FC" w:rsidRDefault="00BF4307" w:rsidP="002C4DE0">
      <w:pPr>
        <w:pStyle w:val="NoSpacing"/>
        <w:ind w:left="360"/>
        <w:rPr>
          <w:sz w:val="24"/>
        </w:rPr>
      </w:pPr>
      <w:bookmarkStart w:id="0" w:name="_Hlk48809932"/>
      <w:r>
        <w:rPr>
          <w:sz w:val="24"/>
        </w:rPr>
        <w:t xml:space="preserve">Respondent must enter their responses in the Word </w:t>
      </w:r>
      <w:r w:rsidR="00791F20">
        <w:rPr>
          <w:sz w:val="24"/>
        </w:rPr>
        <w:t>d</w:t>
      </w:r>
      <w:r>
        <w:rPr>
          <w:sz w:val="24"/>
        </w:rPr>
        <w:t xml:space="preserve">ocument and </w:t>
      </w:r>
      <w:bookmarkStart w:id="1" w:name="_Hlk48809915"/>
      <w:r>
        <w:rPr>
          <w:sz w:val="24"/>
        </w:rPr>
        <w:t>p</w:t>
      </w:r>
      <w:r w:rsidR="00CC52FC" w:rsidRPr="00CC52FC">
        <w:rPr>
          <w:sz w:val="24"/>
        </w:rPr>
        <w:t>roposals must be submitted electronically through the University’s electronic procurement system in accordance with these directions</w:t>
      </w:r>
      <w:bookmarkEnd w:id="0"/>
      <w:r w:rsidR="00CC52FC" w:rsidRPr="00CC52FC">
        <w:rPr>
          <w:sz w:val="24"/>
        </w:rPr>
        <w:t xml:space="preserve">: </w:t>
      </w:r>
    </w:p>
    <w:p w14:paraId="27970794" w14:textId="77777777" w:rsidR="00576B7D" w:rsidRDefault="00CC52FC" w:rsidP="002C4DE0">
      <w:pPr>
        <w:pStyle w:val="NoSpacing"/>
        <w:numPr>
          <w:ilvl w:val="0"/>
          <w:numId w:val="4"/>
        </w:numPr>
        <w:rPr>
          <w:sz w:val="24"/>
        </w:rPr>
      </w:pPr>
      <w:r w:rsidRPr="00CC52FC">
        <w:rPr>
          <w:sz w:val="24"/>
        </w:rPr>
        <w:t xml:space="preserve">Respondents must not include any cost information in the Technical Proposal.  </w:t>
      </w:r>
    </w:p>
    <w:p w14:paraId="680A8544" w14:textId="77777777" w:rsidR="00576B7D" w:rsidRDefault="00CC52FC" w:rsidP="002C4DE0">
      <w:pPr>
        <w:pStyle w:val="NoSpacing"/>
        <w:numPr>
          <w:ilvl w:val="0"/>
          <w:numId w:val="4"/>
        </w:numPr>
        <w:rPr>
          <w:sz w:val="24"/>
        </w:rPr>
      </w:pPr>
      <w:bookmarkStart w:id="2" w:name="_Hlk48809993"/>
      <w:r w:rsidRPr="00576B7D">
        <w:rPr>
          <w:sz w:val="24"/>
        </w:rPr>
        <w:t>Respondent’s proposed cost must remain firm for a period of at least 120 days from the University’s notice of intent to award</w:t>
      </w:r>
      <w:bookmarkEnd w:id="2"/>
      <w:r w:rsidRPr="00576B7D">
        <w:rPr>
          <w:sz w:val="24"/>
        </w:rPr>
        <w:t xml:space="preserve">. </w:t>
      </w:r>
    </w:p>
    <w:p w14:paraId="76A76CFF" w14:textId="77777777" w:rsidR="00CC52FC" w:rsidRPr="00576B7D" w:rsidRDefault="00CC52FC" w:rsidP="002C4DE0">
      <w:pPr>
        <w:pStyle w:val="NoSpacing"/>
        <w:numPr>
          <w:ilvl w:val="0"/>
          <w:numId w:val="4"/>
        </w:numPr>
        <w:rPr>
          <w:sz w:val="24"/>
        </w:rPr>
      </w:pPr>
      <w:bookmarkStart w:id="3" w:name="_Hlk48810006"/>
      <w:r w:rsidRPr="00576B7D">
        <w:rPr>
          <w:sz w:val="24"/>
        </w:rPr>
        <w:t>The University will not accept late bids</w:t>
      </w:r>
      <w:bookmarkEnd w:id="3"/>
      <w:r w:rsidRPr="00576B7D">
        <w:rPr>
          <w:sz w:val="24"/>
        </w:rPr>
        <w:t>.</w:t>
      </w:r>
    </w:p>
    <w:bookmarkEnd w:id="1"/>
    <w:p w14:paraId="100D770A" w14:textId="77777777" w:rsidR="00CC52FC" w:rsidRDefault="00CC52FC" w:rsidP="002C4DE0">
      <w:pPr>
        <w:pStyle w:val="NoSpacing"/>
        <w:rPr>
          <w:sz w:val="24"/>
        </w:rPr>
      </w:pPr>
    </w:p>
    <w:p w14:paraId="6F9C6C9B" w14:textId="77777777" w:rsidR="00CC52FC" w:rsidRDefault="00CC52FC" w:rsidP="002C4DE0">
      <w:pPr>
        <w:pStyle w:val="NoSpacing"/>
        <w:numPr>
          <w:ilvl w:val="0"/>
          <w:numId w:val="2"/>
        </w:numPr>
        <w:ind w:left="360"/>
        <w:rPr>
          <w:sz w:val="24"/>
        </w:rPr>
      </w:pPr>
      <w:bookmarkStart w:id="4" w:name="_Hlk48810083"/>
      <w:r w:rsidRPr="00DD7CBF">
        <w:rPr>
          <w:b/>
          <w:sz w:val="24"/>
          <w:u w:val="single"/>
        </w:rPr>
        <w:t>Withdrawal of Proposals</w:t>
      </w:r>
      <w:r>
        <w:rPr>
          <w:sz w:val="24"/>
        </w:rPr>
        <w:t>:</w:t>
      </w:r>
      <w:bookmarkEnd w:id="4"/>
      <w:r w:rsidR="009C1FEE" w:rsidRPr="009C1FEE">
        <w:rPr>
          <w:sz w:val="24"/>
        </w:rPr>
        <w:t xml:space="preserve"> </w:t>
      </w:r>
      <w:r w:rsidR="009C1FEE">
        <w:rPr>
          <w:sz w:val="24"/>
        </w:rPr>
        <w:t>Respondent may withdraw its</w:t>
      </w:r>
      <w:r w:rsidR="009C1FEE" w:rsidRPr="00DD7CBF">
        <w:rPr>
          <w:sz w:val="24"/>
        </w:rPr>
        <w:t xml:space="preserve"> submitted </w:t>
      </w:r>
      <w:r w:rsidR="009C1FEE">
        <w:rPr>
          <w:sz w:val="24"/>
        </w:rPr>
        <w:t xml:space="preserve">proposal </w:t>
      </w:r>
      <w:r w:rsidR="009C1FEE" w:rsidRPr="00DD7CBF">
        <w:rPr>
          <w:sz w:val="24"/>
        </w:rPr>
        <w:t>by sending a written request</w:t>
      </w:r>
      <w:r w:rsidR="009C1FEE">
        <w:rPr>
          <w:sz w:val="24"/>
        </w:rPr>
        <w:t xml:space="preserve"> via email</w:t>
      </w:r>
      <w:r w:rsidR="009C1FEE" w:rsidRPr="00DD7CBF">
        <w:rPr>
          <w:sz w:val="24"/>
        </w:rPr>
        <w:t xml:space="preserve"> to the Solicitation Coordinator before the s</w:t>
      </w:r>
      <w:r w:rsidR="009C1FEE">
        <w:rPr>
          <w:sz w:val="24"/>
        </w:rPr>
        <w:t xml:space="preserve">ubmission deadline.  </w:t>
      </w:r>
      <w:bookmarkStart w:id="5" w:name="_Hlk48810117"/>
      <w:r w:rsidRPr="00DD7CBF">
        <w:rPr>
          <w:sz w:val="24"/>
        </w:rPr>
        <w:t>Proposals may be withdrawn and resubmitted in the same manner, if done prior to the submission deadline</w:t>
      </w:r>
      <w:bookmarkEnd w:id="5"/>
      <w:r w:rsidRPr="00DD7CBF">
        <w:rPr>
          <w:sz w:val="24"/>
        </w:rPr>
        <w:t xml:space="preserve">.  </w:t>
      </w:r>
      <w:r w:rsidR="009C1FEE" w:rsidRPr="009C1FEE">
        <w:rPr>
          <w:sz w:val="24"/>
        </w:rPr>
        <w:t xml:space="preserve"> </w:t>
      </w:r>
      <w:r w:rsidR="009C1FEE">
        <w:rPr>
          <w:sz w:val="24"/>
        </w:rPr>
        <w:t>The University will not consider w</w:t>
      </w:r>
      <w:r w:rsidR="009C1FEE" w:rsidRPr="00DD7CBF">
        <w:rPr>
          <w:sz w:val="24"/>
        </w:rPr>
        <w:t>ithdrawals or modifications offered in any other manner</w:t>
      </w:r>
      <w:r w:rsidR="009C1FEE">
        <w:rPr>
          <w:sz w:val="24"/>
        </w:rPr>
        <w:t>.</w:t>
      </w:r>
    </w:p>
    <w:p w14:paraId="5EFF7C6E" w14:textId="77777777" w:rsidR="00AF568A" w:rsidRDefault="00AF568A" w:rsidP="002C4DE0">
      <w:pPr>
        <w:pStyle w:val="NoSpacing"/>
        <w:rPr>
          <w:sz w:val="24"/>
        </w:rPr>
      </w:pPr>
    </w:p>
    <w:p w14:paraId="0A556733" w14:textId="77777777" w:rsidR="00AF568A" w:rsidRPr="00DD7CBF" w:rsidRDefault="00AF568A" w:rsidP="002C4DE0">
      <w:pPr>
        <w:pStyle w:val="NoSpacing"/>
        <w:numPr>
          <w:ilvl w:val="0"/>
          <w:numId w:val="2"/>
        </w:numPr>
        <w:ind w:left="360"/>
        <w:rPr>
          <w:sz w:val="24"/>
        </w:rPr>
      </w:pPr>
      <w:r w:rsidRPr="00CC0B71">
        <w:rPr>
          <w:b/>
          <w:sz w:val="24"/>
          <w:u w:val="single"/>
        </w:rPr>
        <w:t>Presentations</w:t>
      </w:r>
      <w:r w:rsidR="007719AD">
        <w:rPr>
          <w:sz w:val="24"/>
        </w:rPr>
        <w:t>: The University may invite some, or all, respondents to provide presentations</w:t>
      </w:r>
      <w:r w:rsidR="003C230A">
        <w:rPr>
          <w:sz w:val="24"/>
        </w:rPr>
        <w:t xml:space="preserve"> (whether online or in person)</w:t>
      </w:r>
      <w:r w:rsidR="007719AD">
        <w:rPr>
          <w:sz w:val="24"/>
        </w:rPr>
        <w:t xml:space="preserve">.  </w:t>
      </w:r>
      <w:r w:rsidR="007223FC">
        <w:rPr>
          <w:sz w:val="24"/>
        </w:rPr>
        <w:t xml:space="preserve">If the University invites some, but not all, of the respondents, the University will not score the cost proposals for the non-invited respondents.  </w:t>
      </w:r>
    </w:p>
    <w:p w14:paraId="0964BDD6" w14:textId="77777777" w:rsidR="00CC52FC" w:rsidRPr="007C22EE" w:rsidRDefault="00CC52FC" w:rsidP="002C4DE0">
      <w:pPr>
        <w:pStyle w:val="NoSpacing"/>
        <w:ind w:left="360"/>
        <w:rPr>
          <w:sz w:val="24"/>
        </w:rPr>
      </w:pPr>
    </w:p>
    <w:p w14:paraId="78D377F5" w14:textId="77777777" w:rsidR="00CC52FC" w:rsidRDefault="00CC52FC" w:rsidP="002C4DE0">
      <w:pPr>
        <w:pStyle w:val="NoSpacing"/>
        <w:numPr>
          <w:ilvl w:val="0"/>
          <w:numId w:val="2"/>
        </w:numPr>
        <w:ind w:left="360"/>
        <w:rPr>
          <w:sz w:val="24"/>
        </w:rPr>
      </w:pPr>
      <w:r w:rsidRPr="007C22EE">
        <w:rPr>
          <w:b/>
          <w:sz w:val="24"/>
          <w:u w:val="single"/>
        </w:rPr>
        <w:lastRenderedPageBreak/>
        <w:t>Questions</w:t>
      </w:r>
      <w:r w:rsidRPr="007C22EE">
        <w:rPr>
          <w:sz w:val="24"/>
        </w:rPr>
        <w:t xml:space="preserve">:  Up to the deadline for questions, </w:t>
      </w:r>
      <w:bookmarkStart w:id="6" w:name="_Hlk48810195"/>
      <w:r w:rsidRPr="007C22EE">
        <w:rPr>
          <w:sz w:val="24"/>
        </w:rPr>
        <w:t>respondents may ask the Office of Procurement Services questions in writing via email to the email address listed above in the “</w:t>
      </w:r>
      <w:r w:rsidR="002600EA">
        <w:rPr>
          <w:sz w:val="24"/>
        </w:rPr>
        <w:t>Communications</w:t>
      </w:r>
      <w:r w:rsidRPr="007C22EE">
        <w:rPr>
          <w:sz w:val="24"/>
        </w:rPr>
        <w:t>” subsection</w:t>
      </w:r>
      <w:bookmarkEnd w:id="6"/>
      <w:r w:rsidRPr="007C22EE">
        <w:rPr>
          <w:sz w:val="24"/>
        </w:rPr>
        <w:t xml:space="preserve">.  </w:t>
      </w:r>
      <w:bookmarkStart w:id="7" w:name="_Hlk48810236"/>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bookmarkEnd w:id="7"/>
      <w:r w:rsidRPr="007C22EE">
        <w:rPr>
          <w:sz w:val="24"/>
        </w:rPr>
        <w:t xml:space="preserve">.  </w:t>
      </w:r>
      <w:bookmarkStart w:id="8" w:name="_Hlk48810259"/>
      <w:r w:rsidRPr="007C22EE">
        <w:rPr>
          <w:sz w:val="24"/>
        </w:rPr>
        <w:t>Respondent understands that it must not rely on verbal communications with the University</w:t>
      </w:r>
      <w:bookmarkEnd w:id="8"/>
      <w:r w:rsidRPr="007C22EE">
        <w:rPr>
          <w:sz w:val="24"/>
        </w:rPr>
        <w:t xml:space="preserve">.    </w:t>
      </w:r>
    </w:p>
    <w:p w14:paraId="63ADDB34" w14:textId="77777777" w:rsidR="00303C5A" w:rsidRPr="00303C5A" w:rsidRDefault="00303C5A" w:rsidP="002C4DE0">
      <w:pPr>
        <w:pStyle w:val="NoSpacing"/>
        <w:ind w:left="360"/>
        <w:rPr>
          <w:sz w:val="24"/>
        </w:rPr>
      </w:pPr>
    </w:p>
    <w:p w14:paraId="1FBF34A2" w14:textId="77777777" w:rsidR="00CC52FC" w:rsidRPr="000205E7" w:rsidRDefault="00576B7D" w:rsidP="002C4DE0">
      <w:pPr>
        <w:pStyle w:val="ListParagraph"/>
        <w:numPr>
          <w:ilvl w:val="0"/>
          <w:numId w:val="2"/>
        </w:numPr>
        <w:spacing w:after="160" w:line="240"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0552DD0F" w14:textId="77777777" w:rsidR="00CC52FC" w:rsidRDefault="00CC52FC" w:rsidP="002C4DE0">
      <w:pPr>
        <w:pStyle w:val="ListParagraph"/>
        <w:spacing w:after="160" w:line="240"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56F73063" w14:textId="77777777" w:rsidR="00C1573F" w:rsidRDefault="00C1573F" w:rsidP="002C4DE0">
      <w:pPr>
        <w:pStyle w:val="ListParagraph"/>
        <w:spacing w:after="160" w:line="24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34415001" w14:textId="77777777" w:rsidTr="001542B4">
        <w:tc>
          <w:tcPr>
            <w:tcW w:w="2785" w:type="dxa"/>
          </w:tcPr>
          <w:p w14:paraId="640818AF"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25A7DFCC"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7E4DDA9A" w14:textId="77777777" w:rsidTr="001542B4">
        <w:tc>
          <w:tcPr>
            <w:tcW w:w="2785" w:type="dxa"/>
          </w:tcPr>
          <w:p w14:paraId="48A7075C"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4AD23BD3" w14:textId="77777777" w:rsidR="00C1573F" w:rsidRPr="00D5778A" w:rsidRDefault="00C1573F" w:rsidP="002C4DE0">
            <w:pPr>
              <w:pStyle w:val="ListParagraph"/>
              <w:spacing w:after="160" w:line="240" w:lineRule="auto"/>
              <w:ind w:left="0"/>
              <w:rPr>
                <w:rFonts w:asciiTheme="minorHAnsi" w:hAnsiTheme="minorHAnsi" w:cstheme="minorHAnsi"/>
                <w:sz w:val="24"/>
                <w:szCs w:val="24"/>
              </w:rPr>
            </w:pPr>
            <w:r w:rsidRPr="00D5778A">
              <w:rPr>
                <w:rFonts w:asciiTheme="minorHAnsi" w:hAnsiTheme="minorHAnsi" w:cstheme="minorHAnsi"/>
                <w:sz w:val="24"/>
                <w:szCs w:val="24"/>
              </w:rPr>
              <w:t>700</w:t>
            </w:r>
          </w:p>
        </w:tc>
      </w:tr>
      <w:tr w:rsidR="00C1573F" w14:paraId="28270DEE" w14:textId="77777777" w:rsidTr="001542B4">
        <w:tc>
          <w:tcPr>
            <w:tcW w:w="2785" w:type="dxa"/>
          </w:tcPr>
          <w:p w14:paraId="0BC834B1"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1A9A2FC3" w14:textId="6E9A5EB0" w:rsidR="00C1573F" w:rsidRPr="00D5778A" w:rsidRDefault="00C1573F" w:rsidP="002C4DE0">
            <w:pPr>
              <w:pStyle w:val="ListParagraph"/>
              <w:spacing w:after="160" w:line="240" w:lineRule="auto"/>
              <w:ind w:left="0"/>
              <w:rPr>
                <w:rFonts w:asciiTheme="minorHAnsi" w:hAnsiTheme="minorHAnsi" w:cstheme="minorHAnsi"/>
                <w:sz w:val="24"/>
                <w:szCs w:val="24"/>
              </w:rPr>
            </w:pPr>
            <w:r w:rsidRPr="00D5778A">
              <w:rPr>
                <w:rFonts w:asciiTheme="minorHAnsi" w:hAnsiTheme="minorHAnsi" w:cstheme="minorHAnsi"/>
                <w:sz w:val="24"/>
                <w:szCs w:val="24"/>
              </w:rPr>
              <w:t>300</w:t>
            </w:r>
          </w:p>
        </w:tc>
      </w:tr>
      <w:tr w:rsidR="00C1573F" w14:paraId="554B97B8" w14:textId="77777777" w:rsidTr="001542B4">
        <w:tc>
          <w:tcPr>
            <w:tcW w:w="2785" w:type="dxa"/>
          </w:tcPr>
          <w:p w14:paraId="7D4E1EE0"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39037927"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500863C8" w14:textId="77777777" w:rsidR="00A56340" w:rsidRDefault="00A56340" w:rsidP="002C4DE0">
      <w:pPr>
        <w:spacing w:line="240" w:lineRule="auto"/>
        <w:ind w:firstLine="360"/>
        <w:contextualSpacing/>
        <w:rPr>
          <w:rFonts w:asciiTheme="minorHAnsi" w:hAnsiTheme="minorHAnsi" w:cstheme="minorHAnsi"/>
          <w:sz w:val="24"/>
          <w:szCs w:val="24"/>
        </w:rPr>
      </w:pPr>
    </w:p>
    <w:p w14:paraId="6CE8C5BF" w14:textId="77777777" w:rsidR="00576B7D" w:rsidRPr="004D3027" w:rsidRDefault="00576B7D" w:rsidP="002C4DE0">
      <w:pPr>
        <w:pStyle w:val="ListParagraph"/>
        <w:spacing w:line="240" w:lineRule="auto"/>
        <w:rPr>
          <w:rFonts w:asciiTheme="minorHAnsi" w:hAnsiTheme="minorHAnsi" w:cstheme="minorHAnsi"/>
          <w:sz w:val="24"/>
          <w:szCs w:val="24"/>
        </w:rPr>
      </w:pPr>
    </w:p>
    <w:p w14:paraId="38F72547" w14:textId="77777777" w:rsidR="00576B7D" w:rsidRDefault="00576B7D" w:rsidP="002C4DE0">
      <w:pPr>
        <w:pStyle w:val="ListParagraph"/>
        <w:numPr>
          <w:ilvl w:val="0"/>
          <w:numId w:val="2"/>
        </w:numPr>
        <w:spacing w:after="160" w:line="240"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7C5DD60D" w14:textId="77777777" w:rsidR="00576B7D" w:rsidRDefault="00576B7D" w:rsidP="002C4DE0">
      <w:pPr>
        <w:spacing w:line="240" w:lineRule="auto"/>
        <w:contextualSpacing/>
        <w:rPr>
          <w:rFonts w:asciiTheme="minorHAnsi" w:hAnsiTheme="minorHAnsi" w:cstheme="minorHAnsi"/>
          <w:sz w:val="24"/>
          <w:szCs w:val="24"/>
        </w:rPr>
      </w:pPr>
    </w:p>
    <w:p w14:paraId="36E9B8F1" w14:textId="77777777" w:rsidR="00576B7D" w:rsidRPr="00C76CF9" w:rsidRDefault="00576B7D"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3F68D815" w14:textId="77777777" w:rsidR="00576B7D" w:rsidRDefault="00576B7D" w:rsidP="002C4DE0">
      <w:pPr>
        <w:spacing w:line="240" w:lineRule="auto"/>
        <w:contextualSpacing/>
        <w:rPr>
          <w:rFonts w:asciiTheme="minorHAnsi" w:hAnsiTheme="minorHAnsi" w:cstheme="minorHAnsi"/>
          <w:sz w:val="24"/>
          <w:szCs w:val="24"/>
        </w:rPr>
      </w:pPr>
    </w:p>
    <w:p w14:paraId="34367200" w14:textId="77777777" w:rsidR="00576B7D" w:rsidRPr="00257756" w:rsidRDefault="00576B7D" w:rsidP="002C4DE0">
      <w:pPr>
        <w:pStyle w:val="NoSpacing"/>
        <w:rPr>
          <w:rFonts w:asciiTheme="minorHAnsi" w:hAnsiTheme="minorHAnsi" w:cstheme="min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  Respondents must complete each item in order.  The University may disqualify incomplete proposals.</w:t>
      </w:r>
      <w:r w:rsidRPr="006C274F">
        <w:rPr>
          <w:rFonts w:asciiTheme="majorHAnsi" w:hAnsiTheme="majorHAnsi"/>
          <w:sz w:val="24"/>
          <w:szCs w:val="24"/>
        </w:rPr>
        <w:t xml:space="preserve"> </w:t>
      </w:r>
    </w:p>
    <w:p w14:paraId="27C031B5" w14:textId="77777777" w:rsidR="00917D60" w:rsidRDefault="00917D60" w:rsidP="002C4DE0">
      <w:pPr>
        <w:spacing w:line="240" w:lineRule="auto"/>
        <w:rPr>
          <w:rFonts w:asciiTheme="minorHAnsi" w:hAnsiTheme="minorHAnsi" w:cstheme="minorHAnsi"/>
          <w:sz w:val="24"/>
          <w:szCs w:val="24"/>
        </w:rPr>
      </w:pPr>
    </w:p>
    <w:p w14:paraId="133FC014" w14:textId="77777777" w:rsidR="007B3CBB" w:rsidRPr="00917D60" w:rsidRDefault="007B3CBB" w:rsidP="002C4DE0">
      <w:pPr>
        <w:pStyle w:val="ListParagraph"/>
        <w:numPr>
          <w:ilvl w:val="0"/>
          <w:numId w:val="24"/>
        </w:numPr>
        <w:spacing w:line="240" w:lineRule="auto"/>
        <w:rPr>
          <w:rFonts w:asciiTheme="minorHAnsi" w:hAnsiTheme="minorHAnsi" w:cstheme="minorHAnsi"/>
          <w:b/>
          <w:sz w:val="24"/>
          <w:szCs w:val="24"/>
          <w:u w:val="single"/>
        </w:rPr>
      </w:pPr>
      <w:r w:rsidRPr="00917D60">
        <w:rPr>
          <w:rFonts w:asciiTheme="minorHAnsi" w:hAnsiTheme="minorHAnsi" w:cstheme="minorHAnsi"/>
          <w:b/>
          <w:sz w:val="24"/>
          <w:szCs w:val="24"/>
          <w:u w:val="single"/>
        </w:rPr>
        <w:t>Mandatory Requirements</w:t>
      </w:r>
      <w:r w:rsidR="00917D60" w:rsidRPr="00053697">
        <w:rPr>
          <w:rFonts w:asciiTheme="minorHAnsi" w:hAnsiTheme="minorHAnsi" w:cstheme="minorHAnsi"/>
          <w:b/>
          <w:sz w:val="24"/>
          <w:szCs w:val="24"/>
        </w:rPr>
        <w:t xml:space="preserve">: </w:t>
      </w:r>
      <w:r w:rsidR="00576B7D" w:rsidRPr="00053697">
        <w:rPr>
          <w:sz w:val="24"/>
        </w:rPr>
        <w:t xml:space="preserve">The University will review the mandatory </w:t>
      </w:r>
      <w:r w:rsidR="002426F2" w:rsidRPr="00053697">
        <w:rPr>
          <w:sz w:val="24"/>
        </w:rPr>
        <w:t>requirements</w:t>
      </w:r>
      <w:r w:rsidR="00576B7D" w:rsidRPr="00053697">
        <w:rPr>
          <w:sz w:val="24"/>
        </w:rPr>
        <w:t xml:space="preserve"> t</w:t>
      </w:r>
      <w:r w:rsidR="006C274F" w:rsidRPr="00053697">
        <w:rPr>
          <w:sz w:val="24"/>
        </w:rPr>
        <w:t>o determine if the</w:t>
      </w:r>
      <w:r w:rsidR="002426F2" w:rsidRPr="00053697">
        <w:rPr>
          <w:sz w:val="24"/>
        </w:rPr>
        <w:t>y have been</w:t>
      </w:r>
      <w:r w:rsidR="006C274F" w:rsidRPr="00053697">
        <w:rPr>
          <w:sz w:val="24"/>
        </w:rPr>
        <w:t xml:space="preserve"> </w:t>
      </w:r>
      <w:r w:rsidR="00576B7D" w:rsidRPr="00053697">
        <w:rPr>
          <w:sz w:val="24"/>
        </w:rPr>
        <w:t xml:space="preserve">met.  </w:t>
      </w:r>
    </w:p>
    <w:p w14:paraId="0FB87225" w14:textId="77777777" w:rsidR="00917D60" w:rsidRPr="00917D60" w:rsidRDefault="00917D60" w:rsidP="002C4DE0">
      <w:pPr>
        <w:pStyle w:val="ListParagraph"/>
        <w:spacing w:line="240" w:lineRule="auto"/>
        <w:rPr>
          <w:rFonts w:asciiTheme="minorHAnsi" w:hAnsiTheme="minorHAnsi" w:cstheme="minorHAnsi"/>
          <w:b/>
          <w:sz w:val="24"/>
          <w:szCs w:val="24"/>
          <w:u w:val="single"/>
        </w:rPr>
      </w:pPr>
    </w:p>
    <w:p w14:paraId="31FFB5BB" w14:textId="1A146629" w:rsidR="007B3CBB" w:rsidRDefault="00D5778A" w:rsidP="002C4DE0">
      <w:pPr>
        <w:pStyle w:val="ListParagraph"/>
        <w:numPr>
          <w:ilvl w:val="0"/>
          <w:numId w:val="16"/>
        </w:numPr>
        <w:spacing w:line="240" w:lineRule="auto"/>
        <w:rPr>
          <w:rFonts w:asciiTheme="minorHAnsi" w:hAnsiTheme="minorHAnsi" w:cstheme="minorHAnsi"/>
          <w:sz w:val="24"/>
          <w:szCs w:val="24"/>
        </w:rPr>
      </w:pPr>
      <w:r w:rsidRPr="00712E03">
        <w:rPr>
          <w:rFonts w:asciiTheme="minorHAnsi" w:hAnsiTheme="minorHAnsi" w:cstheme="minorHAnsi"/>
          <w:b/>
          <w:bCs/>
          <w:sz w:val="24"/>
          <w:szCs w:val="24"/>
          <w:highlight w:val="yellow"/>
        </w:rPr>
        <w:t>S</w:t>
      </w:r>
      <w:r w:rsidR="007B3CBB" w:rsidRPr="00712E03">
        <w:rPr>
          <w:rFonts w:asciiTheme="minorHAnsi" w:hAnsiTheme="minorHAnsi" w:cstheme="minorHAnsi"/>
          <w:b/>
          <w:bCs/>
          <w:sz w:val="24"/>
          <w:szCs w:val="24"/>
          <w:highlight w:val="yellow"/>
        </w:rPr>
        <w:t>olicitation-specific mandatory requirements</w:t>
      </w:r>
      <w:r w:rsidR="007B3CBB" w:rsidRPr="00D5778A">
        <w:rPr>
          <w:rFonts w:asciiTheme="minorHAnsi" w:hAnsiTheme="minorHAnsi" w:cstheme="minorHAnsi"/>
          <w:sz w:val="24"/>
          <w:szCs w:val="24"/>
        </w:rPr>
        <w:t>:</w:t>
      </w:r>
      <w:r>
        <w:rPr>
          <w:rFonts w:asciiTheme="minorHAnsi" w:hAnsiTheme="minorHAnsi" w:cstheme="minorHAnsi"/>
          <w:sz w:val="24"/>
          <w:szCs w:val="24"/>
        </w:rPr>
        <w:t xml:space="preserve"> </w:t>
      </w:r>
      <w:r w:rsidR="00712E03">
        <w:rPr>
          <w:rFonts w:asciiTheme="minorHAnsi" w:hAnsiTheme="minorHAnsi" w:cstheme="minorHAnsi"/>
          <w:sz w:val="24"/>
          <w:szCs w:val="24"/>
        </w:rPr>
        <w:t xml:space="preserve">Respondent must meet the following requirements or risk disqualification: </w:t>
      </w:r>
    </w:p>
    <w:p w14:paraId="79C7D969" w14:textId="77777777" w:rsidR="00675E91" w:rsidRP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The supplier must demonstrate a minimum of 10 years of experience in the pyrotechnics industry, including documented experience in executing displays at large stadiums and indoor venues.</w:t>
      </w:r>
    </w:p>
    <w:p w14:paraId="02EC9AF1" w14:textId="31FCFB30" w:rsid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 xml:space="preserve">The supplier should have prior experience in firing pyrotechnics at football stadiums affiliated with the Southeastern Conference or other Power-5 </w:t>
      </w:r>
      <w:r w:rsidRPr="00675E91">
        <w:rPr>
          <w:rFonts w:asciiTheme="minorHAnsi" w:hAnsiTheme="minorHAnsi" w:cstheme="minorHAnsi"/>
          <w:sz w:val="24"/>
          <w:szCs w:val="24"/>
        </w:rPr>
        <w:lastRenderedPageBreak/>
        <w:t>institutions</w:t>
      </w:r>
      <w:r>
        <w:rPr>
          <w:rFonts w:asciiTheme="minorHAnsi" w:hAnsiTheme="minorHAnsi" w:cstheme="minorHAnsi"/>
          <w:sz w:val="24"/>
          <w:szCs w:val="24"/>
        </w:rPr>
        <w:t xml:space="preserve"> (Big 10 Conference, Big 12 Conference, Atlantic Coast Conference, or Pacific-12 Conference)</w:t>
      </w:r>
      <w:r w:rsidRPr="00675E91">
        <w:rPr>
          <w:rFonts w:asciiTheme="minorHAnsi" w:hAnsiTheme="minorHAnsi" w:cstheme="minorHAnsi"/>
          <w:sz w:val="24"/>
          <w:szCs w:val="24"/>
        </w:rPr>
        <w:t xml:space="preserve">. </w:t>
      </w:r>
    </w:p>
    <w:p w14:paraId="236A3C85" w14:textId="0A4D86B2" w:rsidR="00675E91" w:rsidRPr="00675E91" w:rsidRDefault="00675E91" w:rsidP="00675E91">
      <w:pPr>
        <w:pStyle w:val="ListParagraph"/>
        <w:spacing w:line="240" w:lineRule="auto"/>
        <w:ind w:left="1800"/>
        <w:contextualSpacing w:val="0"/>
        <w:rPr>
          <w:rFonts w:asciiTheme="minorHAnsi" w:hAnsiTheme="minorHAnsi" w:cstheme="minorHAnsi"/>
          <w:sz w:val="24"/>
          <w:szCs w:val="24"/>
        </w:rPr>
      </w:pPr>
      <w:r w:rsidRPr="00712E03">
        <w:rPr>
          <w:rFonts w:asciiTheme="minorHAnsi" w:hAnsiTheme="minorHAnsi" w:cstheme="minorHAnsi"/>
          <w:sz w:val="24"/>
          <w:szCs w:val="24"/>
          <w:highlight w:val="yellow"/>
          <w:u w:val="single"/>
        </w:rPr>
        <w:t>Response</w:t>
      </w:r>
      <w:r>
        <w:rPr>
          <w:rFonts w:asciiTheme="minorHAnsi" w:hAnsiTheme="minorHAnsi" w:cstheme="minorHAnsi"/>
          <w:sz w:val="24"/>
          <w:szCs w:val="24"/>
        </w:rPr>
        <w:t xml:space="preserve">: </w:t>
      </w:r>
    </w:p>
    <w:p w14:paraId="4A00C486" w14:textId="77777777" w:rsidR="00675E91" w:rsidRP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The supplier must have Tennessee certified proximate operators available on-site during events. Documentation proving certification must be provided.</w:t>
      </w:r>
    </w:p>
    <w:p w14:paraId="1A8032A2" w14:textId="77777777" w:rsidR="00675E91" w:rsidRPr="00675E91" w:rsidRDefault="00675E91" w:rsidP="00675E91">
      <w:pPr>
        <w:pStyle w:val="ListParagraph"/>
        <w:numPr>
          <w:ilvl w:val="2"/>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For football gamedays, a minimum of six (6) certified proximate operators must be present.</w:t>
      </w:r>
    </w:p>
    <w:p w14:paraId="43233530" w14:textId="77777777" w:rsidR="00675E91" w:rsidRPr="00675E91" w:rsidRDefault="00675E91" w:rsidP="00675E91">
      <w:pPr>
        <w:pStyle w:val="ListParagraph"/>
        <w:numPr>
          <w:ilvl w:val="2"/>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For basketball gamedays, at least one (1) certified proximate operator is required.</w:t>
      </w:r>
    </w:p>
    <w:p w14:paraId="1C55794C" w14:textId="38981C89" w:rsidR="00675E91" w:rsidRPr="00675E91" w:rsidRDefault="00675E91" w:rsidP="00675E91">
      <w:pPr>
        <w:pStyle w:val="ListParagraph"/>
        <w:spacing w:line="240" w:lineRule="auto"/>
        <w:ind w:left="1800"/>
        <w:contextualSpacing w:val="0"/>
        <w:rPr>
          <w:rFonts w:asciiTheme="minorHAnsi" w:hAnsiTheme="minorHAnsi" w:cstheme="minorHAnsi"/>
          <w:sz w:val="24"/>
          <w:szCs w:val="24"/>
        </w:rPr>
      </w:pPr>
      <w:r w:rsidRPr="00712E03">
        <w:rPr>
          <w:rFonts w:asciiTheme="minorHAnsi" w:hAnsiTheme="minorHAnsi" w:cstheme="minorHAnsi"/>
          <w:sz w:val="24"/>
          <w:szCs w:val="24"/>
          <w:highlight w:val="yellow"/>
          <w:u w:val="single"/>
        </w:rPr>
        <w:t>Response</w:t>
      </w:r>
      <w:r>
        <w:rPr>
          <w:rFonts w:asciiTheme="minorHAnsi" w:hAnsiTheme="minorHAnsi" w:cstheme="minorHAnsi"/>
          <w:sz w:val="24"/>
          <w:szCs w:val="24"/>
        </w:rPr>
        <w:t xml:space="preserve">: </w:t>
      </w:r>
    </w:p>
    <w:p w14:paraId="38BC3F17" w14:textId="5B3506DF" w:rsid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The supplier must be prepared to transport all regulated materials into and out of each venue for every event. It is important to note that there will be no access to on-site storage facilities.</w:t>
      </w:r>
    </w:p>
    <w:p w14:paraId="071DEFF5" w14:textId="1F9884F1" w:rsidR="00675E91" w:rsidRPr="00675E91" w:rsidRDefault="00675E91" w:rsidP="00675E91">
      <w:pPr>
        <w:pStyle w:val="ListParagraph"/>
        <w:spacing w:line="240" w:lineRule="auto"/>
        <w:ind w:left="1800"/>
        <w:contextualSpacing w:val="0"/>
        <w:rPr>
          <w:rFonts w:asciiTheme="minorHAnsi" w:hAnsiTheme="minorHAnsi" w:cstheme="minorHAnsi"/>
          <w:sz w:val="24"/>
          <w:szCs w:val="24"/>
        </w:rPr>
      </w:pPr>
      <w:r w:rsidRPr="00712E03">
        <w:rPr>
          <w:rFonts w:asciiTheme="minorHAnsi" w:hAnsiTheme="minorHAnsi" w:cstheme="minorHAnsi"/>
          <w:sz w:val="24"/>
          <w:szCs w:val="24"/>
          <w:highlight w:val="yellow"/>
          <w:u w:val="single"/>
        </w:rPr>
        <w:t>Response</w:t>
      </w:r>
      <w:r>
        <w:rPr>
          <w:rFonts w:asciiTheme="minorHAnsi" w:hAnsiTheme="minorHAnsi" w:cstheme="minorHAnsi"/>
          <w:sz w:val="24"/>
          <w:szCs w:val="24"/>
        </w:rPr>
        <w:t xml:space="preserve">: </w:t>
      </w:r>
    </w:p>
    <w:p w14:paraId="28CD283A" w14:textId="77777777" w:rsid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All fireworks utilized by the supplier must comply with the Consumer Product Safety Commission (CPSC) requirements specified for the State of Tennessee.</w:t>
      </w:r>
    </w:p>
    <w:p w14:paraId="6ED7DD8C" w14:textId="5C0360E2" w:rsidR="00675E91" w:rsidRDefault="00675E91" w:rsidP="00675E91">
      <w:pPr>
        <w:pStyle w:val="ListParagraph"/>
        <w:spacing w:line="240" w:lineRule="auto"/>
        <w:ind w:left="1800"/>
        <w:contextualSpacing w:val="0"/>
        <w:rPr>
          <w:rFonts w:asciiTheme="minorHAnsi" w:hAnsiTheme="minorHAnsi" w:cstheme="minorHAnsi"/>
          <w:sz w:val="24"/>
          <w:szCs w:val="24"/>
        </w:rPr>
      </w:pPr>
      <w:r w:rsidRPr="00712E03">
        <w:rPr>
          <w:rFonts w:asciiTheme="minorHAnsi" w:hAnsiTheme="minorHAnsi" w:cstheme="minorHAnsi"/>
          <w:sz w:val="24"/>
          <w:szCs w:val="24"/>
          <w:highlight w:val="yellow"/>
          <w:u w:val="single"/>
        </w:rPr>
        <w:t>Response</w:t>
      </w:r>
      <w:r>
        <w:rPr>
          <w:rFonts w:asciiTheme="minorHAnsi" w:hAnsiTheme="minorHAnsi" w:cstheme="minorHAnsi"/>
          <w:sz w:val="24"/>
          <w:szCs w:val="24"/>
        </w:rPr>
        <w:t xml:space="preserve">: </w:t>
      </w:r>
    </w:p>
    <w:p w14:paraId="4638D177" w14:textId="77777777" w:rsidR="00675E91" w:rsidRPr="00675E91" w:rsidRDefault="00675E91" w:rsidP="00675E91">
      <w:pPr>
        <w:pStyle w:val="ListParagraph"/>
        <w:spacing w:line="240" w:lineRule="auto"/>
        <w:ind w:left="1800"/>
        <w:contextualSpacing w:val="0"/>
        <w:rPr>
          <w:rFonts w:asciiTheme="minorHAnsi" w:hAnsiTheme="minorHAnsi" w:cstheme="minorHAnsi"/>
          <w:sz w:val="24"/>
          <w:szCs w:val="24"/>
        </w:rPr>
      </w:pPr>
    </w:p>
    <w:p w14:paraId="618D0EDD" w14:textId="77777777" w:rsid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The supplier must maintain up-to-date compliance with all national and local firework and explosive codes. Documentation proving compliance with these regulations must be provided.</w:t>
      </w:r>
    </w:p>
    <w:p w14:paraId="6DD1D5A7" w14:textId="6FAF45BE" w:rsidR="00675E91" w:rsidRPr="00675E91" w:rsidRDefault="00675E91" w:rsidP="00675E91">
      <w:pPr>
        <w:pStyle w:val="ListParagraph"/>
        <w:spacing w:line="240" w:lineRule="auto"/>
        <w:ind w:left="1800"/>
        <w:contextualSpacing w:val="0"/>
        <w:rPr>
          <w:rFonts w:asciiTheme="minorHAnsi" w:hAnsiTheme="minorHAnsi" w:cstheme="minorHAnsi"/>
          <w:sz w:val="24"/>
          <w:szCs w:val="24"/>
        </w:rPr>
      </w:pPr>
      <w:r w:rsidRPr="00712E03">
        <w:rPr>
          <w:rFonts w:asciiTheme="minorHAnsi" w:hAnsiTheme="minorHAnsi" w:cstheme="minorHAnsi"/>
          <w:sz w:val="24"/>
          <w:szCs w:val="24"/>
          <w:highlight w:val="yellow"/>
          <w:u w:val="single"/>
        </w:rPr>
        <w:t>Response</w:t>
      </w:r>
      <w:r>
        <w:rPr>
          <w:rFonts w:asciiTheme="minorHAnsi" w:hAnsiTheme="minorHAnsi" w:cstheme="minorHAnsi"/>
          <w:sz w:val="24"/>
          <w:szCs w:val="24"/>
        </w:rPr>
        <w:t xml:space="preserve">: </w:t>
      </w:r>
    </w:p>
    <w:p w14:paraId="7B800D4C" w14:textId="77777777" w:rsidR="00675E91" w:rsidRP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highlight w:val="yellow"/>
        </w:rPr>
        <w:t>The supplier must submit an appropriate certificate of insurance along with their proposal response.</w:t>
      </w:r>
      <w:r w:rsidRPr="00675E91">
        <w:rPr>
          <w:rFonts w:asciiTheme="minorHAnsi" w:hAnsiTheme="minorHAnsi" w:cstheme="minorHAnsi"/>
          <w:sz w:val="24"/>
          <w:szCs w:val="24"/>
        </w:rPr>
        <w:t xml:space="preserve"> This certificate must demonstrate compliance with the insurance requirements outlined in the Special Proposal Conditions.</w:t>
      </w:r>
    </w:p>
    <w:p w14:paraId="7A8B14B7" w14:textId="77777777" w:rsid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t>The supplier must strictly adhere to regulations set forth by the Bureau of Alcohol, Tobacco, Firearms and Explosives (ATF), the National Fire Protection Association (NFPA), and the Tennessee State Fire Marshal Office. Note: Compliance with CPSC requirements is included under this qualification.</w:t>
      </w:r>
    </w:p>
    <w:p w14:paraId="684FCFF1" w14:textId="5C91C134" w:rsidR="00675E91" w:rsidRPr="00675E91" w:rsidRDefault="00675E91" w:rsidP="00675E91">
      <w:pPr>
        <w:pStyle w:val="ListParagraph"/>
        <w:spacing w:line="240" w:lineRule="auto"/>
        <w:ind w:left="1800"/>
        <w:contextualSpacing w:val="0"/>
        <w:rPr>
          <w:rFonts w:asciiTheme="minorHAnsi" w:hAnsiTheme="minorHAnsi" w:cstheme="minorHAnsi"/>
          <w:sz w:val="24"/>
          <w:szCs w:val="24"/>
        </w:rPr>
      </w:pPr>
      <w:r w:rsidRPr="00712E03">
        <w:rPr>
          <w:rFonts w:asciiTheme="minorHAnsi" w:hAnsiTheme="minorHAnsi" w:cstheme="minorHAnsi"/>
          <w:sz w:val="24"/>
          <w:szCs w:val="24"/>
          <w:highlight w:val="yellow"/>
          <w:u w:val="single"/>
        </w:rPr>
        <w:t>Response</w:t>
      </w:r>
      <w:r>
        <w:rPr>
          <w:rFonts w:asciiTheme="minorHAnsi" w:hAnsiTheme="minorHAnsi" w:cstheme="minorHAnsi"/>
          <w:sz w:val="24"/>
          <w:szCs w:val="24"/>
        </w:rPr>
        <w:t xml:space="preserve">: </w:t>
      </w:r>
    </w:p>
    <w:p w14:paraId="44A6B747" w14:textId="77777777" w:rsidR="00675E91" w:rsidRPr="00675E91" w:rsidRDefault="00675E91" w:rsidP="00675E91">
      <w:pPr>
        <w:pStyle w:val="ListParagraph"/>
        <w:numPr>
          <w:ilvl w:val="1"/>
          <w:numId w:val="42"/>
        </w:numPr>
        <w:contextualSpacing w:val="0"/>
        <w:rPr>
          <w:rFonts w:asciiTheme="minorHAnsi" w:hAnsiTheme="minorHAnsi" w:cstheme="minorHAnsi"/>
          <w:sz w:val="24"/>
          <w:szCs w:val="24"/>
        </w:rPr>
      </w:pPr>
      <w:r w:rsidRPr="00675E91">
        <w:rPr>
          <w:rFonts w:asciiTheme="minorHAnsi" w:hAnsiTheme="minorHAnsi" w:cstheme="minorHAnsi"/>
          <w:sz w:val="24"/>
          <w:szCs w:val="24"/>
        </w:rPr>
        <w:lastRenderedPageBreak/>
        <w:t>The supplier must comply with all permitting and safety officer requirements mandated by the City of Knoxville.</w:t>
      </w:r>
    </w:p>
    <w:p w14:paraId="37E66E32" w14:textId="4C59826D" w:rsidR="00712E03" w:rsidRDefault="00712E03" w:rsidP="00675E91">
      <w:pPr>
        <w:pStyle w:val="ListParagraph"/>
        <w:spacing w:line="240" w:lineRule="auto"/>
        <w:ind w:left="1800"/>
        <w:contextualSpacing w:val="0"/>
        <w:rPr>
          <w:rFonts w:asciiTheme="minorHAnsi" w:hAnsiTheme="minorHAnsi" w:cstheme="minorHAnsi"/>
          <w:sz w:val="24"/>
          <w:szCs w:val="24"/>
        </w:rPr>
      </w:pPr>
      <w:r w:rsidRPr="00712E03">
        <w:rPr>
          <w:rFonts w:asciiTheme="minorHAnsi" w:hAnsiTheme="minorHAnsi" w:cstheme="minorHAnsi"/>
          <w:sz w:val="24"/>
          <w:szCs w:val="24"/>
          <w:highlight w:val="yellow"/>
          <w:u w:val="single"/>
        </w:rPr>
        <w:t>Response</w:t>
      </w:r>
      <w:r>
        <w:rPr>
          <w:rFonts w:asciiTheme="minorHAnsi" w:hAnsiTheme="minorHAnsi" w:cstheme="minorHAnsi"/>
          <w:sz w:val="24"/>
          <w:szCs w:val="24"/>
        </w:rPr>
        <w:t xml:space="preserve">: </w:t>
      </w:r>
    </w:p>
    <w:p w14:paraId="20ED5E0D" w14:textId="77777777" w:rsidR="00712E03" w:rsidRPr="00D5778A" w:rsidRDefault="00712E03" w:rsidP="00712E03">
      <w:pPr>
        <w:pStyle w:val="ListParagraph"/>
        <w:spacing w:line="240" w:lineRule="auto"/>
        <w:ind w:left="1800"/>
        <w:rPr>
          <w:rFonts w:asciiTheme="minorHAnsi" w:hAnsiTheme="minorHAnsi" w:cstheme="minorHAnsi"/>
          <w:sz w:val="24"/>
          <w:szCs w:val="24"/>
        </w:rPr>
      </w:pPr>
    </w:p>
    <w:p w14:paraId="39EB9AEE" w14:textId="77777777" w:rsidR="003F35AF" w:rsidRPr="00E4073A" w:rsidRDefault="003F35AF" w:rsidP="002C4DE0">
      <w:pPr>
        <w:pStyle w:val="ListParagraph"/>
        <w:numPr>
          <w:ilvl w:val="0"/>
          <w:numId w:val="16"/>
        </w:numPr>
        <w:spacing w:line="240" w:lineRule="auto"/>
        <w:rPr>
          <w:rFonts w:asciiTheme="minorHAnsi" w:hAnsiTheme="minorHAnsi" w:cstheme="minorHAnsi"/>
          <w:b/>
          <w:sz w:val="24"/>
          <w:szCs w:val="24"/>
        </w:rPr>
      </w:pPr>
      <w:r w:rsidRPr="00E4073A">
        <w:rPr>
          <w:rFonts w:asciiTheme="minorHAnsi" w:hAnsiTheme="minorHAnsi" w:cstheme="minorHAnsi"/>
          <w:b/>
          <w:sz w:val="24"/>
          <w:szCs w:val="24"/>
        </w:rPr>
        <w:t>Pro</w:t>
      </w:r>
      <w:r w:rsidR="00E4073A">
        <w:rPr>
          <w:rFonts w:asciiTheme="minorHAnsi" w:hAnsiTheme="minorHAnsi" w:cstheme="minorHAnsi"/>
          <w:b/>
          <w:sz w:val="24"/>
          <w:szCs w:val="24"/>
        </w:rPr>
        <w:t xml:space="preserve"> </w:t>
      </w:r>
      <w:r w:rsidRPr="00E4073A">
        <w:rPr>
          <w:rFonts w:asciiTheme="minorHAnsi" w:hAnsiTheme="minorHAnsi" w:cstheme="minorHAnsi"/>
          <w:b/>
          <w:sz w:val="24"/>
          <w:szCs w:val="24"/>
        </w:rPr>
        <w:t xml:space="preserve">forma Invoices: </w:t>
      </w:r>
      <w:r w:rsidR="00E4073A" w:rsidRPr="00E4073A">
        <w:rPr>
          <w:rFonts w:asciiTheme="minorHAnsi" w:hAnsiTheme="minorHAnsi" w:cstheme="minorHAnsi"/>
          <w:sz w:val="24"/>
          <w:szCs w:val="24"/>
        </w:rPr>
        <w:t>Please include a copy of your pro</w:t>
      </w:r>
      <w:r w:rsidR="00E4073A">
        <w:rPr>
          <w:rFonts w:asciiTheme="minorHAnsi" w:hAnsiTheme="minorHAnsi" w:cstheme="minorHAnsi"/>
          <w:sz w:val="24"/>
          <w:szCs w:val="24"/>
        </w:rPr>
        <w:t xml:space="preserve"> </w:t>
      </w:r>
      <w:r w:rsidR="00E4073A" w:rsidRPr="00E4073A">
        <w:rPr>
          <w:rFonts w:asciiTheme="minorHAnsi" w:hAnsiTheme="minorHAnsi" w:cstheme="minorHAnsi"/>
          <w:sz w:val="24"/>
          <w:szCs w:val="24"/>
        </w:rPr>
        <w:t xml:space="preserve">forma invoice.   </w:t>
      </w:r>
      <w:r w:rsidR="009A1E98">
        <w:rPr>
          <w:rFonts w:asciiTheme="minorHAnsi" w:hAnsiTheme="minorHAnsi" w:cstheme="minorHAnsi"/>
          <w:sz w:val="24"/>
          <w:szCs w:val="24"/>
        </w:rPr>
        <w:t>Please provide enough sample descriptions</w:t>
      </w:r>
      <w:r w:rsidR="005C5729">
        <w:rPr>
          <w:rFonts w:asciiTheme="minorHAnsi" w:hAnsiTheme="minorHAnsi" w:cstheme="minorHAnsi"/>
          <w:sz w:val="24"/>
          <w:szCs w:val="24"/>
        </w:rPr>
        <w:t xml:space="preserve"> in the pro forma invoice</w:t>
      </w:r>
      <w:r w:rsidR="009A1E98">
        <w:rPr>
          <w:rFonts w:asciiTheme="minorHAnsi" w:hAnsiTheme="minorHAnsi" w:cstheme="minorHAnsi"/>
          <w:sz w:val="24"/>
          <w:szCs w:val="24"/>
        </w:rPr>
        <w:t xml:space="preserve"> for the </w:t>
      </w:r>
      <w:r w:rsidR="006522DC">
        <w:rPr>
          <w:rFonts w:asciiTheme="minorHAnsi" w:hAnsiTheme="minorHAnsi" w:cstheme="minorHAnsi"/>
          <w:sz w:val="24"/>
          <w:szCs w:val="24"/>
        </w:rPr>
        <w:t>u</w:t>
      </w:r>
      <w:r w:rsidR="009A1E98">
        <w:rPr>
          <w:rFonts w:asciiTheme="minorHAnsi" w:hAnsiTheme="minorHAnsi" w:cstheme="minorHAnsi"/>
          <w:sz w:val="24"/>
          <w:szCs w:val="24"/>
        </w:rPr>
        <w:t xml:space="preserve">niversity to be able to tailor its purchase order or contract to match the descriptions that will appear on your invoices. </w:t>
      </w:r>
    </w:p>
    <w:p w14:paraId="1EA367B1" w14:textId="7906E891" w:rsidR="007B3CBB" w:rsidRDefault="007B3CBB" w:rsidP="002C4DE0">
      <w:pPr>
        <w:pStyle w:val="ListParagraph"/>
        <w:numPr>
          <w:ilvl w:val="0"/>
          <w:numId w:val="16"/>
        </w:numPr>
        <w:spacing w:line="240" w:lineRule="auto"/>
        <w:rPr>
          <w:rFonts w:asciiTheme="minorHAnsi" w:hAnsiTheme="minorHAnsi" w:cstheme="minorHAnsi"/>
          <w:b/>
          <w:sz w:val="24"/>
          <w:szCs w:val="24"/>
        </w:rPr>
      </w:pPr>
      <w:r w:rsidRPr="00712E03">
        <w:rPr>
          <w:rFonts w:asciiTheme="minorHAnsi" w:hAnsiTheme="minorHAnsi" w:cstheme="minorHAnsi"/>
          <w:b/>
          <w:sz w:val="24"/>
          <w:szCs w:val="24"/>
          <w:highlight w:val="yellow"/>
        </w:rPr>
        <w:t>Insurance Requirements:</w:t>
      </w:r>
      <w:r w:rsidR="00D5778A">
        <w:rPr>
          <w:rFonts w:asciiTheme="minorHAnsi" w:hAnsiTheme="minorHAnsi" w:cstheme="minorHAnsi"/>
          <w:b/>
          <w:sz w:val="24"/>
          <w:szCs w:val="24"/>
        </w:rPr>
        <w:t xml:space="preserve"> </w:t>
      </w:r>
    </w:p>
    <w:p w14:paraId="723F4A6F" w14:textId="5AF86CC5" w:rsidR="00F62940" w:rsidRPr="00F62940" w:rsidRDefault="00F62940" w:rsidP="00F62940">
      <w:pPr>
        <w:tabs>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Pr>
          <w:rFonts w:ascii="Arial" w:hAnsi="Arial" w:cs="Arial"/>
          <w:sz w:val="20"/>
          <w:szCs w:val="20"/>
        </w:rPr>
        <w:tab/>
      </w:r>
      <w:r w:rsidRPr="00F62940">
        <w:rPr>
          <w:rFonts w:asciiTheme="minorHAnsi" w:hAnsiTheme="minorHAnsi" w:cstheme="minorHAnsi"/>
          <w:sz w:val="24"/>
          <w:szCs w:val="24"/>
        </w:rPr>
        <w:t>Commercial General Liability (CGL):</w:t>
      </w:r>
    </w:p>
    <w:p w14:paraId="01177FA9" w14:textId="2E5A1B3A" w:rsidR="00F62940" w:rsidRPr="00F62940" w:rsidRDefault="00F62940" w:rsidP="00F62940">
      <w:pPr>
        <w:tabs>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t xml:space="preserve">Each Occurrence Limit                                      </w:t>
      </w:r>
      <w:r w:rsidRPr="00F62940">
        <w:rPr>
          <w:rFonts w:asciiTheme="minorHAnsi" w:hAnsiTheme="minorHAnsi" w:cstheme="minorHAnsi"/>
          <w:sz w:val="24"/>
          <w:szCs w:val="24"/>
        </w:rPr>
        <w:tab/>
        <w:t>$ 1,000,000</w:t>
      </w:r>
    </w:p>
    <w:p w14:paraId="7D892944" w14:textId="77777777" w:rsidR="00F62940" w:rsidRPr="00F62940" w:rsidRDefault="00F62940" w:rsidP="00F62940">
      <w:pPr>
        <w:tabs>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 xml:space="preserve">Damage to Rented Premises – Ea. Occ.         </w:t>
      </w:r>
      <w:r w:rsidRPr="00F62940">
        <w:rPr>
          <w:rFonts w:asciiTheme="minorHAnsi" w:hAnsiTheme="minorHAnsi" w:cstheme="minorHAnsi"/>
          <w:sz w:val="24"/>
          <w:szCs w:val="24"/>
        </w:rPr>
        <w:tab/>
        <w:t>$    300,000</w:t>
      </w:r>
    </w:p>
    <w:p w14:paraId="120122B9" w14:textId="77777777" w:rsidR="00F62940" w:rsidRPr="00F62940" w:rsidRDefault="00F62940" w:rsidP="00F62940">
      <w:pPr>
        <w:tabs>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 xml:space="preserve">Medical Expense – any one person                 </w:t>
      </w:r>
      <w:r w:rsidRPr="00F62940">
        <w:rPr>
          <w:rFonts w:asciiTheme="minorHAnsi" w:hAnsiTheme="minorHAnsi" w:cstheme="minorHAnsi"/>
          <w:sz w:val="24"/>
          <w:szCs w:val="24"/>
        </w:rPr>
        <w:tab/>
        <w:t>$      10,000</w:t>
      </w:r>
      <w:r w:rsidRPr="00F62940">
        <w:rPr>
          <w:rFonts w:asciiTheme="minorHAnsi" w:hAnsiTheme="minorHAnsi" w:cstheme="minorHAnsi"/>
          <w:sz w:val="24"/>
          <w:szCs w:val="24"/>
        </w:rPr>
        <w:br/>
      </w: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 xml:space="preserve">Personal &amp; Advertising Injury Limit                    </w:t>
      </w:r>
      <w:r w:rsidRPr="00F62940">
        <w:rPr>
          <w:rFonts w:asciiTheme="minorHAnsi" w:hAnsiTheme="minorHAnsi" w:cstheme="minorHAnsi"/>
          <w:sz w:val="24"/>
          <w:szCs w:val="24"/>
        </w:rPr>
        <w:tab/>
        <w:t>$ 1,000,000</w:t>
      </w:r>
      <w:r w:rsidRPr="00F62940">
        <w:rPr>
          <w:rFonts w:asciiTheme="minorHAnsi" w:hAnsiTheme="minorHAnsi" w:cstheme="minorHAnsi"/>
          <w:sz w:val="24"/>
          <w:szCs w:val="24"/>
        </w:rPr>
        <w:tab/>
      </w:r>
    </w:p>
    <w:p w14:paraId="509DCC60" w14:textId="77777777" w:rsidR="00F62940" w:rsidRPr="00F62940" w:rsidRDefault="00F62940" w:rsidP="00F62940">
      <w:pPr>
        <w:tabs>
          <w:tab w:val="left" w:pos="720"/>
          <w:tab w:val="left" w:pos="1440"/>
          <w:tab w:val="left" w:pos="2340"/>
          <w:tab w:val="left" w:pos="2880"/>
          <w:tab w:val="left" w:pos="5040"/>
          <w:tab w:val="left" w:pos="648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General Aggregate Limit</w:t>
      </w: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$ 2,000,000</w:t>
      </w:r>
    </w:p>
    <w:p w14:paraId="50B66F6B" w14:textId="77777777" w:rsidR="00F62940" w:rsidRPr="00F62940" w:rsidRDefault="00F62940" w:rsidP="00F62940">
      <w:pPr>
        <w:tabs>
          <w:tab w:val="left" w:pos="720"/>
          <w:tab w:val="left" w:pos="1440"/>
          <w:tab w:val="left" w:pos="2340"/>
          <w:tab w:val="left" w:pos="2880"/>
          <w:tab w:val="left" w:pos="5040"/>
          <w:tab w:val="left" w:pos="648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Products/Completed Ops. Aggregate Limit</w:t>
      </w:r>
      <w:r w:rsidRPr="00F62940">
        <w:rPr>
          <w:rFonts w:asciiTheme="minorHAnsi" w:hAnsiTheme="minorHAnsi" w:cstheme="minorHAnsi"/>
          <w:sz w:val="24"/>
          <w:szCs w:val="24"/>
        </w:rPr>
        <w:tab/>
      </w:r>
      <w:r w:rsidRPr="00F62940">
        <w:rPr>
          <w:rFonts w:asciiTheme="minorHAnsi" w:hAnsiTheme="minorHAnsi" w:cstheme="minorHAnsi"/>
          <w:sz w:val="24"/>
          <w:szCs w:val="24"/>
        </w:rPr>
        <w:tab/>
        <w:t>$ 2,000,000</w:t>
      </w:r>
    </w:p>
    <w:p w14:paraId="1D5FA46E" w14:textId="42233015" w:rsidR="00F62940" w:rsidRPr="00F62940" w:rsidRDefault="00F62940" w:rsidP="00F62940">
      <w:pPr>
        <w:tabs>
          <w:tab w:val="left" w:pos="1440"/>
          <w:tab w:val="left" w:pos="2340"/>
          <w:tab w:val="left" w:pos="2880"/>
          <w:tab w:val="left" w:pos="3420"/>
          <w:tab w:val="left" w:pos="3960"/>
          <w:tab w:val="left" w:pos="504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t>Workers’ Compensation (WC):</w:t>
      </w: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Statutory Limits</w:t>
      </w:r>
    </w:p>
    <w:p w14:paraId="7933DC9D" w14:textId="77777777" w:rsidR="00F62940" w:rsidRPr="00F62940" w:rsidRDefault="00F62940" w:rsidP="00F62940">
      <w:pPr>
        <w:tabs>
          <w:tab w:val="left" w:pos="1440"/>
          <w:tab w:val="left" w:pos="2340"/>
          <w:tab w:val="left" w:pos="2880"/>
          <w:tab w:val="left" w:pos="3420"/>
          <w:tab w:val="left" w:pos="3960"/>
          <w:tab w:val="left" w:pos="504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t>Employers’ Liability Each Accident</w:t>
      </w: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    100,000</w:t>
      </w:r>
    </w:p>
    <w:p w14:paraId="55A35CE8" w14:textId="29B438A4" w:rsidR="00F62940" w:rsidRPr="00F62940" w:rsidRDefault="00F62940" w:rsidP="00F62940">
      <w:pPr>
        <w:tabs>
          <w:tab w:val="left" w:pos="1440"/>
          <w:tab w:val="left" w:pos="2340"/>
          <w:tab w:val="left" w:pos="2880"/>
          <w:tab w:val="left" w:pos="3420"/>
          <w:tab w:val="left" w:pos="3960"/>
          <w:tab w:val="left" w:pos="504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t>Employers’ Liability Disease – each employee</w:t>
      </w:r>
      <w:r w:rsidRPr="00F62940">
        <w:rPr>
          <w:rFonts w:asciiTheme="minorHAnsi" w:hAnsiTheme="minorHAnsi" w:cstheme="minorHAnsi"/>
          <w:sz w:val="24"/>
          <w:szCs w:val="24"/>
        </w:rPr>
        <w:tab/>
        <w:t>$    100,000</w:t>
      </w:r>
    </w:p>
    <w:p w14:paraId="231E3143" w14:textId="1465DE78" w:rsidR="00F62940" w:rsidRPr="00F62940" w:rsidRDefault="00F62940" w:rsidP="00F62940">
      <w:pPr>
        <w:tabs>
          <w:tab w:val="left" w:pos="-1890"/>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Employers’ Liability Disease – policy limit</w:t>
      </w:r>
      <w:r w:rsidRPr="00F62940">
        <w:rPr>
          <w:rFonts w:asciiTheme="minorHAnsi" w:hAnsiTheme="minorHAnsi" w:cstheme="minorHAnsi"/>
          <w:sz w:val="24"/>
          <w:szCs w:val="24"/>
        </w:rPr>
        <w:tab/>
        <w:t>$    500,000</w:t>
      </w:r>
    </w:p>
    <w:p w14:paraId="58548ABD" w14:textId="77777777" w:rsidR="00F62940" w:rsidRPr="00F62940" w:rsidRDefault="00F62940" w:rsidP="00F62940">
      <w:pPr>
        <w:tabs>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t>Automobile Liability</w:t>
      </w:r>
    </w:p>
    <w:p w14:paraId="535A6E14" w14:textId="725F66D5" w:rsidR="00F62940" w:rsidRPr="00F62940" w:rsidRDefault="00F62940" w:rsidP="00F62940">
      <w:pPr>
        <w:tabs>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t xml:space="preserve">          </w:t>
      </w:r>
      <w:r w:rsidRPr="00F62940">
        <w:rPr>
          <w:rFonts w:asciiTheme="minorHAnsi" w:hAnsiTheme="minorHAnsi" w:cstheme="minorHAnsi"/>
          <w:sz w:val="24"/>
          <w:szCs w:val="24"/>
        </w:rPr>
        <w:tab/>
      </w:r>
      <w:r w:rsidRPr="00F62940">
        <w:rPr>
          <w:rFonts w:asciiTheme="minorHAnsi" w:hAnsiTheme="minorHAnsi" w:cstheme="minorHAnsi"/>
          <w:sz w:val="24"/>
          <w:szCs w:val="24"/>
        </w:rPr>
        <w:tab/>
        <w:t>Combined Single Limit</w:t>
      </w:r>
      <w:r w:rsidRPr="00F62940">
        <w:rPr>
          <w:rFonts w:asciiTheme="minorHAnsi" w:hAnsiTheme="minorHAnsi" w:cstheme="minorHAnsi"/>
          <w:sz w:val="24"/>
          <w:szCs w:val="24"/>
        </w:rPr>
        <w:tab/>
      </w:r>
      <w:r w:rsidRPr="00F62940">
        <w:rPr>
          <w:rFonts w:asciiTheme="minorHAnsi" w:hAnsiTheme="minorHAnsi" w:cstheme="minorHAnsi"/>
          <w:sz w:val="24"/>
          <w:szCs w:val="24"/>
        </w:rPr>
        <w:tab/>
        <w:t>$ 1,000,000</w:t>
      </w:r>
    </w:p>
    <w:p w14:paraId="4F3DE97B" w14:textId="77777777" w:rsidR="00F62940" w:rsidRPr="00F62940" w:rsidRDefault="00F62940" w:rsidP="00F62940">
      <w:pPr>
        <w:tabs>
          <w:tab w:val="left" w:pos="-1890"/>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t>Excess/Umbrella Liability</w:t>
      </w:r>
    </w:p>
    <w:p w14:paraId="1532E2F6" w14:textId="77777777" w:rsidR="00F62940" w:rsidRPr="00F62940" w:rsidRDefault="00F62940" w:rsidP="00F62940">
      <w:pPr>
        <w:tabs>
          <w:tab w:val="left" w:pos="-1890"/>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Each Occurrence</w:t>
      </w:r>
      <w:r w:rsidRPr="00F62940">
        <w:rPr>
          <w:rFonts w:asciiTheme="minorHAnsi" w:hAnsiTheme="minorHAnsi" w:cstheme="minorHAnsi"/>
          <w:sz w:val="24"/>
          <w:szCs w:val="24"/>
        </w:rPr>
        <w:tab/>
      </w:r>
      <w:r w:rsidRPr="00F62940">
        <w:rPr>
          <w:rFonts w:asciiTheme="minorHAnsi" w:hAnsiTheme="minorHAnsi" w:cstheme="minorHAnsi"/>
          <w:sz w:val="24"/>
          <w:szCs w:val="24"/>
        </w:rPr>
        <w:tab/>
        <w:t>$2,000,000</w:t>
      </w:r>
    </w:p>
    <w:p w14:paraId="49A28411" w14:textId="62066DD8" w:rsidR="00F62940" w:rsidRPr="00F62940" w:rsidRDefault="00F62940" w:rsidP="00F62940">
      <w:pPr>
        <w:tabs>
          <w:tab w:val="left" w:pos="-1890"/>
          <w:tab w:val="left" w:pos="720"/>
          <w:tab w:val="left" w:pos="1440"/>
          <w:tab w:val="left" w:pos="2340"/>
          <w:tab w:val="left" w:pos="2880"/>
          <w:tab w:val="left" w:pos="5040"/>
          <w:tab w:val="left" w:pos="7200"/>
        </w:tabs>
        <w:spacing w:line="240" w:lineRule="exact"/>
        <w:rPr>
          <w:rFonts w:asciiTheme="minorHAnsi" w:hAnsiTheme="minorHAnsi" w:cstheme="minorHAnsi"/>
          <w:sz w:val="24"/>
          <w:szCs w:val="24"/>
        </w:rPr>
      </w:pPr>
      <w:r w:rsidRPr="00F62940">
        <w:rPr>
          <w:rFonts w:asciiTheme="minorHAnsi" w:hAnsiTheme="minorHAnsi" w:cstheme="minorHAnsi"/>
          <w:sz w:val="24"/>
          <w:szCs w:val="24"/>
        </w:rPr>
        <w:tab/>
      </w:r>
      <w:r w:rsidRPr="00F62940">
        <w:rPr>
          <w:rFonts w:asciiTheme="minorHAnsi" w:hAnsiTheme="minorHAnsi" w:cstheme="minorHAnsi"/>
          <w:sz w:val="24"/>
          <w:szCs w:val="24"/>
        </w:rPr>
        <w:tab/>
      </w:r>
      <w:r w:rsidRPr="00F62940">
        <w:rPr>
          <w:rFonts w:asciiTheme="minorHAnsi" w:hAnsiTheme="minorHAnsi" w:cstheme="minorHAnsi"/>
          <w:sz w:val="24"/>
          <w:szCs w:val="24"/>
        </w:rPr>
        <w:tab/>
        <w:t>Aggregate</w:t>
      </w:r>
      <w:r w:rsidRPr="00F62940">
        <w:rPr>
          <w:rFonts w:asciiTheme="minorHAnsi" w:hAnsiTheme="minorHAnsi" w:cstheme="minorHAnsi"/>
          <w:sz w:val="24"/>
          <w:szCs w:val="24"/>
        </w:rPr>
        <w:tab/>
      </w:r>
      <w:r w:rsidRPr="00F62940">
        <w:rPr>
          <w:rFonts w:asciiTheme="minorHAnsi" w:hAnsiTheme="minorHAnsi" w:cstheme="minorHAnsi"/>
          <w:sz w:val="24"/>
          <w:szCs w:val="24"/>
        </w:rPr>
        <w:tab/>
        <w:t>$2,000,000</w:t>
      </w:r>
    </w:p>
    <w:p w14:paraId="02F9448F" w14:textId="4CFE4721" w:rsidR="00F62940" w:rsidRPr="00F62940" w:rsidRDefault="00F62940" w:rsidP="00F62940">
      <w:pPr>
        <w:tabs>
          <w:tab w:val="left" w:pos="1440"/>
          <w:tab w:val="left" w:pos="2340"/>
          <w:tab w:val="left" w:pos="2880"/>
          <w:tab w:val="left" w:pos="5040"/>
          <w:tab w:val="left" w:pos="7200"/>
        </w:tabs>
        <w:spacing w:line="240" w:lineRule="exact"/>
        <w:ind w:left="720" w:right="720"/>
        <w:rPr>
          <w:rFonts w:asciiTheme="minorHAnsi" w:hAnsiTheme="minorHAnsi" w:cstheme="minorHAnsi"/>
          <w:sz w:val="24"/>
          <w:szCs w:val="24"/>
        </w:rPr>
      </w:pPr>
      <w:r w:rsidRPr="00F62940">
        <w:rPr>
          <w:rFonts w:asciiTheme="minorHAnsi" w:hAnsiTheme="minorHAnsi" w:cstheme="minorHAnsi"/>
          <w:sz w:val="24"/>
          <w:szCs w:val="24"/>
        </w:rPr>
        <w:t xml:space="preserve">The following language should be included in the Description of Operations section of the COI: </w:t>
      </w:r>
    </w:p>
    <w:p w14:paraId="1914F817" w14:textId="614185BB" w:rsidR="00712E03" w:rsidRPr="00F62940" w:rsidRDefault="00F62940" w:rsidP="00F62940">
      <w:pPr>
        <w:tabs>
          <w:tab w:val="left" w:pos="1440"/>
          <w:tab w:val="left" w:pos="2340"/>
          <w:tab w:val="left" w:pos="2880"/>
          <w:tab w:val="left" w:pos="5040"/>
          <w:tab w:val="left" w:pos="7200"/>
        </w:tabs>
        <w:spacing w:line="240" w:lineRule="exact"/>
        <w:ind w:left="720" w:right="720"/>
        <w:rPr>
          <w:rFonts w:asciiTheme="minorHAnsi" w:hAnsiTheme="minorHAnsi" w:cstheme="minorHAnsi"/>
          <w:sz w:val="24"/>
          <w:szCs w:val="24"/>
        </w:rPr>
      </w:pPr>
      <w:r w:rsidRPr="00F62940">
        <w:rPr>
          <w:rFonts w:asciiTheme="minorHAnsi" w:hAnsiTheme="minorHAnsi" w:cstheme="minorHAnsi"/>
          <w:sz w:val="24"/>
          <w:szCs w:val="24"/>
        </w:rPr>
        <w:t>The University of Tennessee, its Board of Trustees, officers, employees, agents,</w:t>
      </w:r>
      <w:r>
        <w:rPr>
          <w:rFonts w:asciiTheme="minorHAnsi" w:hAnsiTheme="minorHAnsi" w:cstheme="minorHAnsi"/>
          <w:sz w:val="24"/>
          <w:szCs w:val="24"/>
        </w:rPr>
        <w:t xml:space="preserve"> </w:t>
      </w:r>
      <w:r w:rsidRPr="00F62940">
        <w:rPr>
          <w:rFonts w:asciiTheme="minorHAnsi" w:hAnsiTheme="minorHAnsi" w:cstheme="minorHAnsi"/>
          <w:sz w:val="24"/>
          <w:szCs w:val="24"/>
        </w:rPr>
        <w:t xml:space="preserve">and volunteers are named as Additional Insureds with respect to the General, Automobile, Excess/Umbrella, and Liquor Liability policies. A Waiver of Subrogation applies to Workers’ Compensation and the General, Automobile, Umbrella, and Liquor Liability policies as evidenced on this certificate of insurance. All insurance policies above are primary and non-contributory to any other insurance available to the Certificate Holder. </w:t>
      </w:r>
      <w:proofErr w:type="gramStart"/>
      <w:r w:rsidRPr="00F62940">
        <w:rPr>
          <w:rFonts w:asciiTheme="minorHAnsi" w:hAnsiTheme="minorHAnsi" w:cstheme="minorHAnsi"/>
          <w:sz w:val="24"/>
          <w:szCs w:val="24"/>
        </w:rPr>
        <w:t>A thirty</w:t>
      </w:r>
      <w:proofErr w:type="gramEnd"/>
      <w:r w:rsidRPr="00F62940">
        <w:rPr>
          <w:rFonts w:asciiTheme="minorHAnsi" w:hAnsiTheme="minorHAnsi" w:cstheme="minorHAnsi"/>
          <w:sz w:val="24"/>
          <w:szCs w:val="24"/>
        </w:rPr>
        <w:t>-day notice of cancellation is required.</w:t>
      </w:r>
    </w:p>
    <w:p w14:paraId="7DCDB2DC" w14:textId="68C5C222" w:rsidR="007B3CBB" w:rsidRPr="00443B6E" w:rsidRDefault="007B3CBB"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lastRenderedPageBreak/>
        <w:t>Contractor’s License:</w:t>
      </w:r>
      <w:r w:rsidRPr="00443B6E">
        <w:rPr>
          <w:rFonts w:asciiTheme="minorHAnsi" w:hAnsiTheme="minorHAnsi" w:cstheme="minorHAnsi"/>
          <w:sz w:val="24"/>
          <w:szCs w:val="24"/>
        </w:rPr>
        <w:t xml:space="preserve"> </w:t>
      </w:r>
      <w:r w:rsidR="001C5006">
        <w:rPr>
          <w:rFonts w:asciiTheme="minorHAnsi" w:hAnsiTheme="minorHAnsi" w:cstheme="minorHAnsi"/>
          <w:sz w:val="24"/>
          <w:szCs w:val="24"/>
        </w:rPr>
        <w:t>See Solicitation Mandatory Requirements</w:t>
      </w:r>
      <w:r w:rsidR="00675E91">
        <w:rPr>
          <w:rFonts w:asciiTheme="minorHAnsi" w:hAnsiTheme="minorHAnsi" w:cstheme="minorHAnsi"/>
          <w:sz w:val="24"/>
          <w:szCs w:val="24"/>
        </w:rPr>
        <w:t>.</w:t>
      </w:r>
    </w:p>
    <w:p w14:paraId="57539FA7" w14:textId="42E8D98B" w:rsidR="00C361BF" w:rsidRPr="00443B6E" w:rsidRDefault="00C361BF"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Drug-</w:t>
      </w:r>
      <w:r w:rsidRPr="00443B6E">
        <w:rPr>
          <w:rFonts w:asciiTheme="minorHAnsi" w:hAnsiTheme="minorHAnsi" w:cstheme="minorHAnsi"/>
          <w:b/>
          <w:bCs/>
          <w:sz w:val="24"/>
          <w:szCs w:val="24"/>
        </w:rPr>
        <w:t xml:space="preserve">Free Workplace Affidavit: </w:t>
      </w:r>
      <w:r w:rsidR="00497157">
        <w:rPr>
          <w:rFonts w:asciiTheme="minorHAnsi" w:hAnsiTheme="minorHAnsi" w:cstheme="minorHAnsi"/>
          <w:sz w:val="24"/>
          <w:szCs w:val="24"/>
        </w:rPr>
        <w:t>N/A</w:t>
      </w:r>
    </w:p>
    <w:p w14:paraId="3E209BB7" w14:textId="77777777" w:rsidR="007B3CBB" w:rsidRPr="007B3CBB" w:rsidRDefault="00CF69B7" w:rsidP="002C4DE0">
      <w:pPr>
        <w:pStyle w:val="ListParagraph"/>
        <w:numPr>
          <w:ilvl w:val="0"/>
          <w:numId w:val="16"/>
        </w:numPr>
        <w:spacing w:line="240" w:lineRule="auto"/>
        <w:rPr>
          <w:rFonts w:asciiTheme="minorHAnsi" w:hAnsiTheme="minorHAnsi" w:cstheme="minorHAnsi"/>
          <w:b/>
          <w:sz w:val="24"/>
          <w:szCs w:val="24"/>
        </w:rPr>
      </w:pPr>
      <w:r w:rsidRPr="00917D60">
        <w:rPr>
          <w:rFonts w:asciiTheme="minorHAnsi" w:hAnsiTheme="minorHAnsi" w:cstheme="minorHAnsi"/>
          <w:b/>
          <w:sz w:val="24"/>
          <w:szCs w:val="24"/>
        </w:rPr>
        <w:t>Background Checks:</w:t>
      </w:r>
      <w:r w:rsidRPr="00C40A8C">
        <w:rPr>
          <w:rFonts w:asciiTheme="minorHAnsi" w:hAnsiTheme="minorHAnsi" w:cstheme="minorHAnsi"/>
          <w:sz w:val="24"/>
          <w:szCs w:val="24"/>
        </w:rPr>
        <w:t xml:space="preserve">  </w:t>
      </w:r>
      <w:r w:rsidR="00431FD6" w:rsidRPr="00C40A8C">
        <w:rPr>
          <w:rFonts w:asciiTheme="minorHAnsi" w:hAnsiTheme="minorHAnsi" w:cstheme="minorHAnsi"/>
          <w:sz w:val="24"/>
          <w:szCs w:val="24"/>
        </w:rPr>
        <w:t xml:space="preserve">If the University makes an award to Respondent, Respondent will comply with the following </w:t>
      </w:r>
      <w:r w:rsidR="00431FD6" w:rsidRPr="00C40A8C">
        <w:rPr>
          <w:rFonts w:asciiTheme="minorHAnsi" w:hAnsiTheme="minorHAnsi" w:cstheme="minorHAnsi"/>
          <w:b/>
          <w:i/>
          <w:sz w:val="24"/>
          <w:szCs w:val="24"/>
        </w:rPr>
        <w:t>if applicable</w:t>
      </w:r>
      <w:r w:rsidR="00431FD6" w:rsidRPr="00C40A8C">
        <w:rPr>
          <w:rFonts w:asciiTheme="minorHAnsi" w:hAnsiTheme="minorHAnsi" w:cstheme="minorHAnsi"/>
          <w:sz w:val="24"/>
          <w:szCs w:val="24"/>
        </w:rPr>
        <w:t xml:space="preserve"> to the nature of the service provided by Respondent:</w:t>
      </w:r>
    </w:p>
    <w:p w14:paraId="0402915A" w14:textId="77777777" w:rsidR="00923A8A" w:rsidRPr="002C4DE0" w:rsidRDefault="00431FD6" w:rsidP="002C4DE0">
      <w:pPr>
        <w:pStyle w:val="ListParagraph"/>
        <w:spacing w:line="240" w:lineRule="auto"/>
        <w:ind w:left="1440"/>
        <w:rPr>
          <w:sz w:val="24"/>
        </w:rPr>
      </w:pPr>
      <w:r w:rsidRPr="002C4DE0">
        <w:rPr>
          <w:sz w:val="24"/>
        </w:rPr>
        <w:t xml:space="preserve">Every employee that a Supplier places in service on the campus of the University must undergo a criminal background check by the University at the Supplier’s expense.  The minimum requirements for a background check </w:t>
      </w:r>
      <w:proofErr w:type="gramStart"/>
      <w:r w:rsidRPr="002C4DE0">
        <w:rPr>
          <w:sz w:val="24"/>
        </w:rPr>
        <w:t>are:</w:t>
      </w:r>
      <w:proofErr w:type="gramEnd"/>
      <w:r w:rsidRPr="002C4DE0">
        <w:rPr>
          <w:sz w:val="24"/>
        </w:rPr>
        <w:t>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718EE350" w14:textId="195AFB59" w:rsidR="00C00107" w:rsidRPr="00C00107" w:rsidRDefault="00122704" w:rsidP="00160A44">
      <w:pPr>
        <w:pStyle w:val="ListParagraph"/>
        <w:numPr>
          <w:ilvl w:val="0"/>
          <w:numId w:val="16"/>
        </w:numPr>
        <w:spacing w:after="0" w:line="240" w:lineRule="auto"/>
        <w:rPr>
          <w:rFonts w:ascii="Calibri Light" w:hAnsi="Calibri Light" w:cs="Calibri Light"/>
          <w:color w:val="000000"/>
          <w:sz w:val="24"/>
          <w:szCs w:val="24"/>
        </w:rPr>
      </w:pPr>
      <w:r w:rsidRPr="00443B6E">
        <w:rPr>
          <w:rFonts w:asciiTheme="minorHAnsi" w:hAnsiTheme="minorHAnsi" w:cstheme="minorHAnsi"/>
          <w:b/>
          <w:color w:val="000000"/>
          <w:sz w:val="24"/>
          <w:szCs w:val="24"/>
        </w:rPr>
        <w:t>Software</w:t>
      </w:r>
      <w:r w:rsidRPr="00443B6E">
        <w:rPr>
          <w:rFonts w:asciiTheme="minorHAnsi" w:hAnsiTheme="minorHAnsi" w:cstheme="minorHAnsi"/>
          <w:color w:val="000000"/>
          <w:sz w:val="24"/>
          <w:szCs w:val="24"/>
        </w:rPr>
        <w:t>:</w:t>
      </w:r>
      <w:r w:rsidR="00D5778A">
        <w:rPr>
          <w:rFonts w:asciiTheme="minorHAnsi" w:hAnsiTheme="minorHAnsi" w:cstheme="minorHAnsi"/>
          <w:color w:val="000000"/>
          <w:sz w:val="24"/>
          <w:szCs w:val="24"/>
        </w:rPr>
        <w:t xml:space="preserve"> N/A</w:t>
      </w:r>
    </w:p>
    <w:p w14:paraId="14779E17" w14:textId="2055351E" w:rsidR="00122704" w:rsidRPr="00FE4E2D" w:rsidRDefault="00122704" w:rsidP="002C4DE0">
      <w:pPr>
        <w:pStyle w:val="ListParagraph"/>
        <w:numPr>
          <w:ilvl w:val="0"/>
          <w:numId w:val="16"/>
        </w:numPr>
        <w:spacing w:after="0" w:line="240" w:lineRule="auto"/>
        <w:rPr>
          <w:rFonts w:ascii="Calibri Light" w:hAnsi="Calibri Light" w:cs="Calibri Light"/>
          <w:color w:val="000000"/>
          <w:sz w:val="24"/>
          <w:szCs w:val="24"/>
        </w:rPr>
      </w:pPr>
      <w:r w:rsidRPr="00443B6E">
        <w:rPr>
          <w:b/>
          <w:sz w:val="24"/>
          <w:szCs w:val="24"/>
        </w:rPr>
        <w:t>Technology Resources</w:t>
      </w:r>
      <w:r w:rsidRPr="00443B6E">
        <w:rPr>
          <w:sz w:val="24"/>
          <w:szCs w:val="24"/>
        </w:rPr>
        <w:t xml:space="preserve">: </w:t>
      </w:r>
      <w:r w:rsidR="00D5778A">
        <w:rPr>
          <w:rFonts w:cs="Calibri"/>
          <w:sz w:val="24"/>
          <w:szCs w:val="24"/>
        </w:rPr>
        <w:t>N/A</w:t>
      </w:r>
    </w:p>
    <w:p w14:paraId="4BF88FE0" w14:textId="77777777" w:rsidR="00122704" w:rsidRPr="00122704" w:rsidRDefault="00122704" w:rsidP="002C4DE0">
      <w:pPr>
        <w:pStyle w:val="ListParagraph"/>
        <w:spacing w:after="0" w:line="240" w:lineRule="auto"/>
        <w:ind w:left="1080"/>
        <w:rPr>
          <w:rFonts w:ascii="Calibri Light" w:hAnsi="Calibri Light" w:cs="Calibri Light"/>
          <w:color w:val="000000"/>
          <w:sz w:val="24"/>
          <w:szCs w:val="24"/>
        </w:rPr>
      </w:pPr>
      <w:r w:rsidRPr="00122704">
        <w:rPr>
          <w:sz w:val="24"/>
          <w:szCs w:val="24"/>
        </w:rPr>
        <w:tab/>
      </w:r>
    </w:p>
    <w:p w14:paraId="19B47512" w14:textId="77777777" w:rsidR="00122704" w:rsidRPr="00303C5A" w:rsidRDefault="00122704" w:rsidP="002C4DE0">
      <w:pPr>
        <w:pStyle w:val="ListParagraph"/>
        <w:spacing w:line="240" w:lineRule="auto"/>
        <w:ind w:left="1440"/>
        <w:rPr>
          <w:sz w:val="24"/>
          <w:szCs w:val="24"/>
        </w:rPr>
      </w:pPr>
    </w:p>
    <w:p w14:paraId="3AFBEE35" w14:textId="77777777" w:rsidR="00C40A8C" w:rsidRPr="00782B7B" w:rsidRDefault="00C40A8C" w:rsidP="002C4DE0">
      <w:pPr>
        <w:pStyle w:val="ListParagraph"/>
        <w:numPr>
          <w:ilvl w:val="0"/>
          <w:numId w:val="24"/>
        </w:numPr>
        <w:spacing w:line="240" w:lineRule="auto"/>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6DEE49B5" w14:textId="77777777" w:rsidR="006C274F" w:rsidRPr="00C40A8C" w:rsidRDefault="006C274F" w:rsidP="002C4DE0">
      <w:pPr>
        <w:pStyle w:val="ListParagraph"/>
        <w:numPr>
          <w:ilvl w:val="0"/>
          <w:numId w:val="29"/>
        </w:numPr>
        <w:spacing w:line="240" w:lineRule="auto"/>
        <w:rPr>
          <w:rFonts w:asciiTheme="minorHAnsi" w:hAnsiTheme="minorHAnsi" w:cstheme="minorHAnsi"/>
          <w:b/>
          <w:sz w:val="24"/>
          <w:szCs w:val="24"/>
          <w:u w:val="single"/>
        </w:rPr>
      </w:pPr>
      <w:proofErr w:type="gramStart"/>
      <w:r w:rsidRPr="00C40A8C">
        <w:rPr>
          <w:rFonts w:asciiTheme="minorHAnsi" w:hAnsiTheme="minorHAnsi" w:cstheme="minorHAnsi"/>
          <w:sz w:val="24"/>
          <w:szCs w:val="24"/>
        </w:rPr>
        <w:t>Detail</w:t>
      </w:r>
      <w:proofErr w:type="gramEnd"/>
      <w:r w:rsidRPr="00C40A8C">
        <w:rPr>
          <w:rFonts w:asciiTheme="minorHAnsi" w:hAnsiTheme="minorHAnsi" w:cstheme="minorHAnsi"/>
          <w:sz w:val="24"/>
          <w:szCs w:val="24"/>
        </w:rPr>
        <w:t xml:space="preserve"> the name, e-mail address, mailing address, and telephone number of the person the University will contact regarding the response.</w:t>
      </w:r>
    </w:p>
    <w:p w14:paraId="698E9884"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1E7DF239"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0C22842"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138F449F" w14:textId="77777777" w:rsidR="006C274F" w:rsidRDefault="006C274F" w:rsidP="002C4DE0">
      <w:pPr>
        <w:spacing w:after="0" w:line="240" w:lineRule="auto"/>
        <w:rPr>
          <w:rFonts w:asciiTheme="minorHAnsi" w:hAnsiTheme="minorHAnsi" w:cstheme="minorHAnsi"/>
          <w:sz w:val="24"/>
          <w:szCs w:val="24"/>
        </w:rPr>
      </w:pPr>
    </w:p>
    <w:p w14:paraId="7A4836AA" w14:textId="77777777" w:rsidR="005351E2"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Pr>
          <w:rFonts w:asciiTheme="minorHAnsi" w:hAnsiTheme="minorHAnsi" w:cstheme="minorHAnsi"/>
          <w:sz w:val="24"/>
          <w:szCs w:val="24"/>
        </w:rPr>
        <w:t>:</w:t>
      </w:r>
    </w:p>
    <w:p w14:paraId="3F660CB9" w14:textId="77777777" w:rsidR="005351E2" w:rsidRPr="006C274F" w:rsidRDefault="005351E2" w:rsidP="002C4DE0">
      <w:pPr>
        <w:spacing w:after="0" w:line="240" w:lineRule="auto"/>
        <w:rPr>
          <w:rFonts w:asciiTheme="minorHAnsi" w:hAnsiTheme="minorHAnsi" w:cstheme="minorHAnsi"/>
          <w:sz w:val="24"/>
          <w:szCs w:val="24"/>
        </w:rPr>
      </w:pPr>
    </w:p>
    <w:p w14:paraId="4902DD83"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0DF8CF4C"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D354EE2"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211FF764"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2626F26" w14:textId="5EA3D7BC"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at least 3 references, </w:t>
      </w:r>
      <w:r w:rsidRPr="00675E91">
        <w:rPr>
          <w:rFonts w:asciiTheme="minorHAnsi" w:hAnsiTheme="minorHAnsi" w:cstheme="minorHAnsi"/>
          <w:b/>
          <w:bCs/>
          <w:i/>
          <w:iCs/>
          <w:sz w:val="24"/>
          <w:szCs w:val="24"/>
        </w:rPr>
        <w:t>preferably from</w:t>
      </w:r>
      <w:r w:rsidR="00675E91" w:rsidRPr="00675E91">
        <w:rPr>
          <w:rFonts w:asciiTheme="minorHAnsi" w:hAnsiTheme="minorHAnsi" w:cstheme="minorHAnsi"/>
          <w:b/>
          <w:bCs/>
          <w:i/>
          <w:iCs/>
          <w:sz w:val="24"/>
          <w:szCs w:val="24"/>
        </w:rPr>
        <w:t xml:space="preserve"> Power-5 or</w:t>
      </w:r>
      <w:r w:rsidRPr="00675E91">
        <w:rPr>
          <w:rFonts w:asciiTheme="minorHAnsi" w:hAnsiTheme="minorHAnsi" w:cstheme="minorHAnsi"/>
          <w:b/>
          <w:bCs/>
          <w:i/>
          <w:iCs/>
          <w:sz w:val="24"/>
          <w:szCs w:val="24"/>
        </w:rPr>
        <w:t xml:space="preserve"> higher education institutions</w:t>
      </w:r>
      <w:r w:rsidR="00904945" w:rsidRPr="00675E91">
        <w:rPr>
          <w:rFonts w:asciiTheme="minorHAnsi" w:hAnsiTheme="minorHAnsi" w:cstheme="minorHAnsi"/>
          <w:b/>
          <w:bCs/>
          <w:i/>
          <w:iCs/>
          <w:sz w:val="24"/>
          <w:szCs w:val="24"/>
        </w:rPr>
        <w:t xml:space="preserve"> with large-scale stadium and indoor live event pyrotechnics</w:t>
      </w:r>
      <w:r w:rsidRPr="00FE4E2D">
        <w:rPr>
          <w:rFonts w:asciiTheme="minorHAnsi" w:hAnsiTheme="minorHAnsi" w:cstheme="minorHAnsi"/>
          <w:sz w:val="24"/>
          <w:szCs w:val="24"/>
        </w:rPr>
        <w:t>, for which the same services are being utilized. Include, at a minimum, the following: business</w:t>
      </w:r>
      <w:r w:rsidR="00904945">
        <w:rPr>
          <w:rFonts w:asciiTheme="minorHAnsi" w:hAnsiTheme="minorHAnsi" w:cstheme="minorHAnsi"/>
          <w:sz w:val="24"/>
          <w:szCs w:val="24"/>
        </w:rPr>
        <w:t>/school</w:t>
      </w:r>
      <w:r w:rsidRPr="00FE4E2D">
        <w:rPr>
          <w:rFonts w:asciiTheme="minorHAnsi" w:hAnsiTheme="minorHAnsi" w:cstheme="minorHAnsi"/>
          <w:sz w:val="24"/>
          <w:szCs w:val="24"/>
        </w:rPr>
        <w:t xml:space="preserve"> name; contact name; phone number; email address; and brief description of the scope, length, </w:t>
      </w:r>
      <w:proofErr w:type="gramStart"/>
      <w:r w:rsidRPr="00FE4E2D">
        <w:rPr>
          <w:rFonts w:asciiTheme="minorHAnsi" w:hAnsiTheme="minorHAnsi" w:cstheme="minorHAnsi"/>
          <w:sz w:val="24"/>
          <w:szCs w:val="24"/>
        </w:rPr>
        <w:t>volume</w:t>
      </w:r>
      <w:proofErr w:type="gramEnd"/>
      <w:r w:rsidRPr="00FE4E2D">
        <w:rPr>
          <w:rFonts w:asciiTheme="minorHAnsi" w:hAnsiTheme="minorHAnsi" w:cstheme="minorHAnsi"/>
          <w:sz w:val="24"/>
          <w:szCs w:val="24"/>
        </w:rPr>
        <w:t xml:space="preserve"> and status of the business relationship.</w:t>
      </w:r>
    </w:p>
    <w:p w14:paraId="754EEB01" w14:textId="77777777" w:rsidR="006C274F" w:rsidRDefault="006C274F" w:rsidP="002C4DE0">
      <w:pPr>
        <w:pStyle w:val="ListParagraph"/>
        <w:spacing w:after="0" w:line="240" w:lineRule="auto"/>
        <w:rPr>
          <w:rFonts w:asciiTheme="minorHAnsi" w:hAnsiTheme="minorHAnsi" w:cstheme="minorHAnsi"/>
          <w:sz w:val="24"/>
          <w:szCs w:val="24"/>
        </w:rPr>
      </w:pPr>
    </w:p>
    <w:p w14:paraId="6F9A7C46"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149E6D76" w14:textId="77777777" w:rsidR="005351E2" w:rsidRPr="006C274F" w:rsidRDefault="005351E2" w:rsidP="002C4DE0">
      <w:pPr>
        <w:pStyle w:val="ListParagraph"/>
        <w:spacing w:after="0" w:line="240" w:lineRule="auto"/>
        <w:rPr>
          <w:rFonts w:asciiTheme="minorHAnsi" w:hAnsiTheme="minorHAnsi" w:cstheme="minorHAnsi"/>
          <w:sz w:val="24"/>
          <w:szCs w:val="24"/>
        </w:rPr>
      </w:pPr>
    </w:p>
    <w:p w14:paraId="1CDA0E3A"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7460900C"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3783196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3B72D77E"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3FC1CA66" w14:textId="44C112B1"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brief, descriptive statement detailing evidence of the Respondent’s ability to deliver the goods or services sought under this solicitation</w:t>
      </w:r>
      <w:r w:rsidR="00675E91">
        <w:rPr>
          <w:rFonts w:asciiTheme="minorHAnsi" w:hAnsiTheme="minorHAnsi" w:cstheme="minorHAnsi"/>
          <w:sz w:val="24"/>
          <w:szCs w:val="24"/>
        </w:rPr>
        <w:t xml:space="preserve">, </w:t>
      </w:r>
      <w:r w:rsidR="00675E91" w:rsidRPr="00675E91">
        <w:rPr>
          <w:rFonts w:asciiTheme="minorHAnsi" w:hAnsiTheme="minorHAnsi" w:cstheme="minorHAnsi"/>
          <w:b/>
          <w:bCs/>
          <w:i/>
          <w:iCs/>
          <w:sz w:val="24"/>
          <w:szCs w:val="24"/>
        </w:rPr>
        <w:t>including travel plans if required</w:t>
      </w:r>
      <w:r w:rsidR="00675E91">
        <w:rPr>
          <w:rFonts w:asciiTheme="minorHAnsi" w:hAnsiTheme="minorHAnsi" w:cstheme="minorHAnsi"/>
          <w:sz w:val="24"/>
          <w:szCs w:val="24"/>
        </w:rPr>
        <w:t>,</w:t>
      </w:r>
      <w:r w:rsidRPr="00FE4E2D">
        <w:rPr>
          <w:rFonts w:asciiTheme="minorHAnsi" w:hAnsiTheme="minorHAnsi" w:cstheme="minorHAnsi"/>
          <w:sz w:val="24"/>
          <w:szCs w:val="24"/>
        </w:rPr>
        <w:t xml:space="preserve"> (prior experience, training, certifications, resources, </w:t>
      </w:r>
      <w:proofErr w:type="gramStart"/>
      <w:r w:rsidRPr="00FE4E2D">
        <w:rPr>
          <w:rFonts w:asciiTheme="minorHAnsi" w:hAnsiTheme="minorHAnsi" w:cstheme="minorHAnsi"/>
          <w:sz w:val="24"/>
          <w:szCs w:val="24"/>
        </w:rPr>
        <w:t>program</w:t>
      </w:r>
      <w:proofErr w:type="gramEnd"/>
      <w:r w:rsidRPr="00FE4E2D">
        <w:rPr>
          <w:rFonts w:asciiTheme="minorHAnsi" w:hAnsiTheme="minorHAnsi" w:cstheme="minorHAnsi"/>
          <w:sz w:val="24"/>
          <w:szCs w:val="24"/>
        </w:rPr>
        <w:t xml:space="preserve">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087E8BCA"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9C58AF6"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2A71039E"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4CA48ECD"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list of the names of key people who the Respondent will assign to meet the Respondent’s requirements under this solicitation.  Include a resume for each of the people listed.  </w:t>
      </w:r>
    </w:p>
    <w:p w14:paraId="60073679"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0FC19E4C"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11E27106"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3716BB7D"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7E2368BF"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2F766C63"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6D28D553" w14:textId="77777777" w:rsidR="00FE4E2D" w:rsidRPr="006C274F" w:rsidRDefault="00FE4E2D" w:rsidP="002C4DE0">
      <w:pPr>
        <w:pStyle w:val="ListParagraph"/>
        <w:spacing w:after="0" w:line="240" w:lineRule="auto"/>
        <w:ind w:left="1440"/>
        <w:rPr>
          <w:rFonts w:asciiTheme="minorHAnsi" w:hAnsiTheme="minorHAnsi" w:cstheme="minorHAnsi"/>
          <w:sz w:val="24"/>
          <w:szCs w:val="24"/>
        </w:rPr>
      </w:pPr>
    </w:p>
    <w:p w14:paraId="528CB64E"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documentation of the Respondent’s commitment to diversity and indicate if Respondent is registered with the Governor’s Office of Diversity Business Enterprise (Go-DBE). </w:t>
      </w:r>
      <w:r w:rsidRPr="00FE4E2D">
        <w:rPr>
          <w:rFonts w:asciiTheme="minorHAnsi" w:hAnsiTheme="minorHAnsi" w:cstheme="minorHAnsi"/>
          <w:color w:val="000000"/>
          <w:sz w:val="24"/>
          <w:szCs w:val="24"/>
        </w:rPr>
        <w:t xml:space="preserve"> Please visit the Go-DBE </w:t>
      </w:r>
      <w:proofErr w:type="gramStart"/>
      <w:r w:rsidRPr="00FE4E2D">
        <w:rPr>
          <w:rFonts w:asciiTheme="minorHAnsi" w:hAnsiTheme="minorHAnsi" w:cstheme="minorHAnsi"/>
          <w:color w:val="000000"/>
          <w:sz w:val="24"/>
          <w:szCs w:val="24"/>
        </w:rPr>
        <w:t>website at</w:t>
      </w:r>
      <w:proofErr w:type="gramEnd"/>
      <w:r w:rsidRPr="00FE4E2D">
        <w:rPr>
          <w:rFonts w:asciiTheme="minorHAnsi" w:hAnsiTheme="minorHAnsi" w:cstheme="minorHAnsi"/>
          <w:color w:val="000000"/>
          <w:sz w:val="24"/>
          <w:szCs w:val="24"/>
        </w:rPr>
        <w:t xml:space="preserve"> for more information.</w:t>
      </w:r>
      <w:r w:rsidRPr="00FE4E2D">
        <w:rPr>
          <w:rFonts w:asciiTheme="minorHAnsi" w:hAnsiTheme="minorHAnsi" w:cstheme="minorHAnsi"/>
          <w:sz w:val="24"/>
          <w:szCs w:val="24"/>
        </w:rPr>
        <w:t xml:space="preserve">   </w:t>
      </w:r>
      <w:hyperlink r:id="rId11" w:history="1">
        <w:r w:rsidR="00C36978">
          <w:rPr>
            <w:rStyle w:val="Hyperlink"/>
          </w:rPr>
          <w:t>https://www.tn.gov/generalservices/procurement/central-procurement-office--cpo-/governor-s-office-of-diversity-business-enterprise--godbe--/godbe-certification-overview.html</w:t>
        </w:r>
      </w:hyperlink>
    </w:p>
    <w:p w14:paraId="7B3AB090"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594898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7E6D251B"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3C3582EE"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Respondent’s current contracts with the University, the state of Tennessee, Tennessee Board of Regents schools, or other colleges or universities within the state of Tennessee.  Describe any such contracts within the previous 5</w:t>
      </w:r>
      <w:r w:rsidR="002D4891">
        <w:rPr>
          <w:rFonts w:asciiTheme="minorHAnsi" w:hAnsiTheme="minorHAnsi" w:cstheme="minorHAnsi"/>
          <w:sz w:val="24"/>
          <w:szCs w:val="24"/>
        </w:rPr>
        <w:t>-</w:t>
      </w:r>
      <w:r w:rsidRPr="00FE4E2D">
        <w:rPr>
          <w:rFonts w:asciiTheme="minorHAnsi" w:hAnsiTheme="minorHAnsi" w:cstheme="minorHAnsi"/>
          <w:sz w:val="24"/>
          <w:szCs w:val="24"/>
        </w:rPr>
        <w:t xml:space="preserve">year period.  </w:t>
      </w:r>
    </w:p>
    <w:p w14:paraId="6BECC3B1"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51C5855"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5B75989B"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496C6985"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5F18ECC7"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5A4089D9" w14:textId="77777777" w:rsidR="00122704" w:rsidRDefault="005351E2" w:rsidP="003F35AF">
      <w:pPr>
        <w:spacing w:after="0" w:line="240" w:lineRule="auto"/>
        <w:ind w:left="360" w:firstLine="72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78F537D3" w14:textId="77777777" w:rsidR="003F35AF" w:rsidRDefault="003F35AF" w:rsidP="003F35AF">
      <w:pPr>
        <w:spacing w:after="0" w:line="240" w:lineRule="auto"/>
        <w:ind w:left="360" w:firstLine="720"/>
        <w:rPr>
          <w:rFonts w:asciiTheme="minorHAnsi" w:hAnsiTheme="minorHAnsi" w:cstheme="minorHAnsi"/>
          <w:sz w:val="24"/>
          <w:szCs w:val="24"/>
        </w:rPr>
      </w:pPr>
    </w:p>
    <w:p w14:paraId="726B8C5D" w14:textId="77777777" w:rsidR="003F35AF" w:rsidRPr="00B60795" w:rsidRDefault="003F35AF" w:rsidP="003F35AF">
      <w:pPr>
        <w:pStyle w:val="ListParagraph"/>
        <w:numPr>
          <w:ilvl w:val="0"/>
          <w:numId w:val="29"/>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university’s departments will order from respondent and how respondent will ensure the university’s departments will obtain the </w:t>
      </w:r>
      <w:r w:rsidR="00E21453" w:rsidRPr="00B60795">
        <w:rPr>
          <w:rFonts w:asciiTheme="minorHAnsi" w:hAnsiTheme="minorHAnsi" w:cstheme="minorHAnsi"/>
          <w:sz w:val="24"/>
          <w:szCs w:val="24"/>
        </w:rPr>
        <w:t xml:space="preserve">correct </w:t>
      </w:r>
      <w:r w:rsidRPr="00B60795">
        <w:rPr>
          <w:rFonts w:asciiTheme="minorHAnsi" w:hAnsiTheme="minorHAnsi" w:cstheme="minorHAnsi"/>
          <w:sz w:val="24"/>
          <w:szCs w:val="24"/>
        </w:rPr>
        <w:t>negotiated pricing.</w:t>
      </w:r>
      <w:r w:rsidR="00E4073A">
        <w:rPr>
          <w:rFonts w:asciiTheme="minorHAnsi" w:hAnsiTheme="minorHAnsi" w:cstheme="minorHAnsi"/>
          <w:sz w:val="24"/>
          <w:szCs w:val="24"/>
        </w:rPr>
        <w:t xml:space="preserve">  If respondent will require the university to sign a statement of work (SOW), order form, work order, or order conf</w:t>
      </w:r>
      <w:r w:rsidR="00A65455">
        <w:rPr>
          <w:rFonts w:asciiTheme="minorHAnsi" w:hAnsiTheme="minorHAnsi" w:cstheme="minorHAnsi"/>
          <w:sz w:val="24"/>
          <w:szCs w:val="24"/>
        </w:rPr>
        <w:t>i</w:t>
      </w:r>
      <w:r w:rsidR="00E4073A">
        <w:rPr>
          <w:rFonts w:asciiTheme="minorHAnsi" w:hAnsiTheme="minorHAnsi" w:cstheme="minorHAnsi"/>
          <w:sz w:val="24"/>
          <w:szCs w:val="24"/>
        </w:rPr>
        <w:t>rmation, please describe the process and provide examples of what the form will look like.</w:t>
      </w:r>
    </w:p>
    <w:p w14:paraId="22F4CF96" w14:textId="77777777" w:rsidR="003F35AF" w:rsidRPr="00B60795" w:rsidRDefault="003F35AF" w:rsidP="003F35AF">
      <w:pPr>
        <w:spacing w:after="0" w:line="240" w:lineRule="auto"/>
        <w:rPr>
          <w:rFonts w:asciiTheme="minorHAnsi" w:hAnsiTheme="minorHAnsi" w:cstheme="minorHAnsi"/>
          <w:sz w:val="24"/>
          <w:szCs w:val="24"/>
          <w:highlight w:val="yellow"/>
        </w:rPr>
      </w:pPr>
    </w:p>
    <w:p w14:paraId="24CC7474" w14:textId="77777777" w:rsidR="003F35AF" w:rsidRPr="00B60795" w:rsidRDefault="003F35AF" w:rsidP="003F35AF">
      <w:pPr>
        <w:spacing w:after="0" w:line="240" w:lineRule="auto"/>
        <w:ind w:left="1080"/>
        <w:rPr>
          <w:rFonts w:asciiTheme="minorHAnsi" w:hAnsiTheme="minorHAnsi" w:cstheme="minorHAnsi"/>
          <w:sz w:val="24"/>
          <w:szCs w:val="24"/>
        </w:rPr>
      </w:pPr>
      <w:r w:rsidRPr="00675E91">
        <w:rPr>
          <w:rFonts w:asciiTheme="minorHAnsi" w:hAnsiTheme="minorHAnsi" w:cstheme="minorHAnsi"/>
          <w:sz w:val="24"/>
          <w:szCs w:val="24"/>
          <w:highlight w:val="yellow"/>
          <w:u w:val="single"/>
        </w:rPr>
        <w:t>Response</w:t>
      </w:r>
      <w:r w:rsidRPr="00B60795">
        <w:rPr>
          <w:rFonts w:asciiTheme="minorHAnsi" w:hAnsiTheme="minorHAnsi" w:cstheme="minorHAnsi"/>
          <w:sz w:val="24"/>
          <w:szCs w:val="24"/>
        </w:rPr>
        <w:t>:</w:t>
      </w:r>
    </w:p>
    <w:p w14:paraId="529C3A24" w14:textId="77777777" w:rsidR="003F35AF" w:rsidRDefault="003F35AF" w:rsidP="003F35AF">
      <w:pPr>
        <w:spacing w:after="0" w:line="240" w:lineRule="auto"/>
        <w:ind w:left="1080"/>
        <w:rPr>
          <w:rFonts w:asciiTheme="minorHAnsi" w:hAnsiTheme="minorHAnsi" w:cstheme="minorHAnsi"/>
          <w:color w:val="FF0000"/>
          <w:sz w:val="24"/>
          <w:szCs w:val="24"/>
          <w:highlight w:val="yellow"/>
        </w:rPr>
      </w:pPr>
    </w:p>
    <w:p w14:paraId="4E6F532A" w14:textId="77777777" w:rsidR="003F35AF" w:rsidRPr="00B60795" w:rsidRDefault="003F35AF" w:rsidP="003F35AF">
      <w:pPr>
        <w:pStyle w:val="ListParagraph"/>
        <w:numPr>
          <w:ilvl w:val="0"/>
          <w:numId w:val="29"/>
        </w:numPr>
        <w:spacing w:after="0" w:line="240" w:lineRule="auto"/>
        <w:rPr>
          <w:rFonts w:asciiTheme="minorHAnsi" w:hAnsiTheme="minorHAnsi" w:cstheme="minorHAnsi"/>
          <w:color w:val="FF0000"/>
          <w:sz w:val="24"/>
          <w:szCs w:val="24"/>
        </w:rPr>
      </w:pPr>
      <w:r w:rsidRPr="00B60795">
        <w:rPr>
          <w:rFonts w:asciiTheme="minorHAnsi" w:hAnsiTheme="minorHAnsi" w:cstheme="minorHAnsi"/>
          <w:sz w:val="24"/>
          <w:szCs w:val="24"/>
        </w:rPr>
        <w:t xml:space="preserve">Describe how the university will audit respondent’s pricing.  For example, if respondent will offer category discounts, the university must be able to determine what category </w:t>
      </w:r>
      <w:r w:rsidR="00E4073A">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sidR="00E4073A">
        <w:rPr>
          <w:rFonts w:asciiTheme="minorHAnsi" w:hAnsiTheme="minorHAnsi" w:cstheme="minorHAnsi"/>
          <w:sz w:val="24"/>
          <w:szCs w:val="24"/>
        </w:rPr>
        <w:t xml:space="preserve"> </w:t>
      </w:r>
      <w:proofErr w:type="gramStart"/>
      <w:r w:rsidR="00E4073A">
        <w:rPr>
          <w:rFonts w:asciiTheme="minorHAnsi" w:hAnsiTheme="minorHAnsi" w:cstheme="minorHAnsi"/>
          <w:sz w:val="24"/>
          <w:szCs w:val="24"/>
        </w:rPr>
        <w:t>in order to</w:t>
      </w:r>
      <w:proofErr w:type="gramEnd"/>
      <w:r w:rsidR="00E4073A">
        <w:rPr>
          <w:rFonts w:asciiTheme="minorHAnsi" w:hAnsiTheme="minorHAnsi" w:cstheme="minorHAnsi"/>
          <w:sz w:val="24"/>
          <w:szCs w:val="24"/>
        </w:rPr>
        <w:t xml:space="preserve"> ensure the discount is correct.</w:t>
      </w:r>
      <w:r w:rsidRPr="00B60795">
        <w:rPr>
          <w:rFonts w:asciiTheme="minorHAnsi" w:hAnsiTheme="minorHAnsi" w:cstheme="minorHAnsi"/>
          <w:sz w:val="24"/>
          <w:szCs w:val="24"/>
        </w:rPr>
        <w:t xml:space="preserve"> </w:t>
      </w:r>
    </w:p>
    <w:p w14:paraId="1FD6552A" w14:textId="77777777" w:rsidR="00B60795" w:rsidRDefault="00B60795" w:rsidP="00B60795">
      <w:pPr>
        <w:pStyle w:val="ListParagraph"/>
        <w:spacing w:after="0" w:line="240" w:lineRule="auto"/>
        <w:ind w:left="1080"/>
        <w:rPr>
          <w:rFonts w:asciiTheme="minorHAnsi" w:hAnsiTheme="minorHAnsi" w:cstheme="minorHAnsi"/>
          <w:color w:val="FF0000"/>
          <w:sz w:val="24"/>
          <w:szCs w:val="24"/>
        </w:rPr>
      </w:pPr>
    </w:p>
    <w:p w14:paraId="7C8DFD1A" w14:textId="77777777" w:rsidR="00B60795" w:rsidRPr="00B60795" w:rsidRDefault="00B60795" w:rsidP="00B60795">
      <w:pPr>
        <w:pStyle w:val="ListParagraph"/>
        <w:spacing w:after="0" w:line="240" w:lineRule="auto"/>
        <w:ind w:left="1080"/>
        <w:rPr>
          <w:rFonts w:asciiTheme="minorHAnsi" w:hAnsiTheme="minorHAnsi" w:cstheme="minorHAnsi"/>
          <w:sz w:val="24"/>
          <w:szCs w:val="24"/>
          <w:u w:val="single"/>
        </w:rPr>
      </w:pPr>
      <w:r w:rsidRPr="00675E91">
        <w:rPr>
          <w:rFonts w:asciiTheme="minorHAnsi" w:hAnsiTheme="minorHAnsi" w:cstheme="minorHAnsi"/>
          <w:sz w:val="24"/>
          <w:szCs w:val="24"/>
          <w:highlight w:val="yellow"/>
          <w:u w:val="single"/>
        </w:rPr>
        <w:t>Response</w:t>
      </w:r>
      <w:r w:rsidRPr="00B60795">
        <w:rPr>
          <w:rFonts w:asciiTheme="minorHAnsi" w:hAnsiTheme="minorHAnsi" w:cstheme="minorHAnsi"/>
          <w:sz w:val="24"/>
          <w:szCs w:val="24"/>
          <w:u w:val="single"/>
        </w:rPr>
        <w:t>:</w:t>
      </w:r>
    </w:p>
    <w:p w14:paraId="6E33CE45" w14:textId="77777777" w:rsidR="005351E2" w:rsidRPr="006C274F" w:rsidRDefault="005351E2" w:rsidP="002C4DE0">
      <w:pPr>
        <w:pStyle w:val="ListParagraph"/>
        <w:spacing w:line="240" w:lineRule="auto"/>
        <w:ind w:left="1440"/>
        <w:rPr>
          <w:rFonts w:asciiTheme="minorHAnsi" w:hAnsiTheme="minorHAnsi" w:cstheme="minorHAnsi"/>
          <w:sz w:val="24"/>
          <w:szCs w:val="24"/>
        </w:rPr>
      </w:pPr>
    </w:p>
    <w:p w14:paraId="24CE3ADA" w14:textId="77777777" w:rsidR="00A6282A" w:rsidRDefault="00A6282A">
      <w:pPr>
        <w:spacing w:after="160" w:line="259" w:lineRule="auto"/>
        <w:rPr>
          <w:b/>
          <w:sz w:val="24"/>
          <w:u w:val="single"/>
        </w:rPr>
      </w:pPr>
      <w:r>
        <w:rPr>
          <w:b/>
          <w:sz w:val="24"/>
          <w:u w:val="single"/>
        </w:rPr>
        <w:br w:type="page"/>
      </w:r>
    </w:p>
    <w:p w14:paraId="60920992" w14:textId="22A4BC08" w:rsidR="00CC52FC" w:rsidRPr="00904945" w:rsidRDefault="00954EDB" w:rsidP="00904945">
      <w:pPr>
        <w:pStyle w:val="ListParagraph"/>
        <w:numPr>
          <w:ilvl w:val="0"/>
          <w:numId w:val="24"/>
        </w:numPr>
        <w:tabs>
          <w:tab w:val="left" w:pos="900"/>
        </w:tabs>
        <w:spacing w:line="240" w:lineRule="auto"/>
        <w:rPr>
          <w:b/>
          <w:sz w:val="24"/>
          <w:u w:val="single"/>
        </w:rPr>
      </w:pPr>
      <w:r w:rsidRPr="00A6282A">
        <w:rPr>
          <w:b/>
          <w:sz w:val="28"/>
          <w:szCs w:val="24"/>
          <w:u w:val="single"/>
        </w:rPr>
        <w:lastRenderedPageBreak/>
        <w:t xml:space="preserve">Technical </w:t>
      </w:r>
      <w:r w:rsidR="007C369E" w:rsidRPr="00A6282A">
        <w:rPr>
          <w:b/>
          <w:sz w:val="28"/>
          <w:szCs w:val="24"/>
          <w:u w:val="single"/>
        </w:rPr>
        <w:t>Specifications</w:t>
      </w:r>
      <w:r w:rsidR="00504B91" w:rsidRPr="00A6282A">
        <w:rPr>
          <w:b/>
          <w:sz w:val="28"/>
          <w:szCs w:val="24"/>
          <w:u w:val="single"/>
        </w:rPr>
        <w:t xml:space="preserve">: </w:t>
      </w:r>
      <w:r w:rsidR="00904945">
        <w:rPr>
          <w:bCs/>
          <w:sz w:val="24"/>
        </w:rPr>
        <w:t xml:space="preserve">Respondent should review all technical </w:t>
      </w:r>
      <w:proofErr w:type="gramStart"/>
      <w:r w:rsidR="00904945">
        <w:rPr>
          <w:bCs/>
          <w:sz w:val="24"/>
        </w:rPr>
        <w:t>specifications, and</w:t>
      </w:r>
      <w:proofErr w:type="gramEnd"/>
      <w:r w:rsidR="00904945">
        <w:rPr>
          <w:bCs/>
          <w:sz w:val="24"/>
        </w:rPr>
        <w:t xml:space="preserve"> provide a response as the University has requested. </w:t>
      </w:r>
    </w:p>
    <w:p w14:paraId="343E7DB6" w14:textId="2AE07762" w:rsidR="00A6282A" w:rsidRDefault="00A6282A" w:rsidP="002C4DE0">
      <w:pPr>
        <w:pStyle w:val="ListParagraph"/>
        <w:tabs>
          <w:tab w:val="left" w:pos="900"/>
        </w:tabs>
        <w:spacing w:line="240" w:lineRule="auto"/>
        <w:ind w:left="360"/>
        <w:rPr>
          <w:color w:val="FF0000"/>
          <w:sz w:val="24"/>
        </w:rPr>
      </w:pPr>
    </w:p>
    <w:p w14:paraId="43AF3552" w14:textId="7FDAEEEE" w:rsidR="00A6282A" w:rsidRPr="00A6282A" w:rsidRDefault="00A6282A" w:rsidP="00A6282A">
      <w:pPr>
        <w:pStyle w:val="ListParagraph"/>
        <w:numPr>
          <w:ilvl w:val="1"/>
          <w:numId w:val="41"/>
        </w:numPr>
        <w:rPr>
          <w:b/>
          <w:bCs/>
          <w:sz w:val="24"/>
        </w:rPr>
      </w:pPr>
      <w:r w:rsidRPr="00A6282A">
        <w:rPr>
          <w:b/>
          <w:bCs/>
          <w:sz w:val="24"/>
        </w:rPr>
        <w:t>Neyland Stadium | Tennessee Football Games</w:t>
      </w:r>
    </w:p>
    <w:p w14:paraId="339D50A0" w14:textId="65ABB3E5" w:rsidR="00A6282A" w:rsidRDefault="00A6282A" w:rsidP="00A6282A">
      <w:pPr>
        <w:pStyle w:val="ListParagraph"/>
        <w:numPr>
          <w:ilvl w:val="2"/>
          <w:numId w:val="41"/>
        </w:numPr>
        <w:rPr>
          <w:sz w:val="24"/>
        </w:rPr>
      </w:pPr>
      <w:r>
        <w:rPr>
          <w:sz w:val="24"/>
        </w:rPr>
        <w:t xml:space="preserve">Ability to shoot </w:t>
      </w:r>
      <w:proofErr w:type="gramStart"/>
      <w:r>
        <w:rPr>
          <w:sz w:val="24"/>
        </w:rPr>
        <w:t>close proximity</w:t>
      </w:r>
      <w:proofErr w:type="gramEnd"/>
      <w:r>
        <w:rPr>
          <w:sz w:val="24"/>
        </w:rPr>
        <w:t xml:space="preserve"> fireworks in an instantaneous manner for a variety of sequences from the East, West and North roof for a total of 30 fire locations around the Stadium roof.</w:t>
      </w:r>
    </w:p>
    <w:p w14:paraId="352AC8B1" w14:textId="77777777" w:rsidR="00A6282A" w:rsidRDefault="00A6282A" w:rsidP="00A6282A">
      <w:pPr>
        <w:pStyle w:val="ListParagraph"/>
        <w:numPr>
          <w:ilvl w:val="2"/>
          <w:numId w:val="41"/>
        </w:numPr>
        <w:rPr>
          <w:sz w:val="24"/>
        </w:rPr>
      </w:pPr>
      <w:r>
        <w:rPr>
          <w:sz w:val="24"/>
        </w:rPr>
        <w:t xml:space="preserve">Sequences – each sequence must fire the total listed in an instantaneous </w:t>
      </w:r>
      <w:proofErr w:type="gramStart"/>
      <w:r>
        <w:rPr>
          <w:sz w:val="24"/>
        </w:rPr>
        <w:t>manner</w:t>
      </w:r>
      <w:proofErr w:type="gramEnd"/>
    </w:p>
    <w:p w14:paraId="4561FB7A" w14:textId="77777777" w:rsidR="00A6282A" w:rsidRDefault="00A6282A" w:rsidP="00A6282A">
      <w:pPr>
        <w:pStyle w:val="ListParagraph"/>
        <w:numPr>
          <w:ilvl w:val="3"/>
          <w:numId w:val="41"/>
        </w:numPr>
        <w:rPr>
          <w:sz w:val="24"/>
        </w:rPr>
      </w:pPr>
      <w:r>
        <w:rPr>
          <w:sz w:val="24"/>
        </w:rPr>
        <w:t>All Fire – 30 mines</w:t>
      </w:r>
    </w:p>
    <w:p w14:paraId="5AF9549B" w14:textId="77777777" w:rsidR="00A6282A" w:rsidRDefault="00A6282A" w:rsidP="00A6282A">
      <w:pPr>
        <w:pStyle w:val="ListParagraph"/>
        <w:numPr>
          <w:ilvl w:val="3"/>
          <w:numId w:val="41"/>
        </w:numPr>
        <w:rPr>
          <w:sz w:val="24"/>
        </w:rPr>
      </w:pPr>
      <w:r w:rsidRPr="00A517E3">
        <w:rPr>
          <w:sz w:val="24"/>
        </w:rPr>
        <w:t>Single chase</w:t>
      </w:r>
      <w:r>
        <w:rPr>
          <w:sz w:val="24"/>
        </w:rPr>
        <w:t xml:space="preserve"> – 30 mines</w:t>
      </w:r>
    </w:p>
    <w:p w14:paraId="2A2F9D9E" w14:textId="77777777" w:rsidR="00A6282A" w:rsidRDefault="00A6282A" w:rsidP="00A6282A">
      <w:pPr>
        <w:pStyle w:val="ListParagraph"/>
        <w:numPr>
          <w:ilvl w:val="3"/>
          <w:numId w:val="41"/>
        </w:numPr>
        <w:rPr>
          <w:sz w:val="24"/>
        </w:rPr>
      </w:pPr>
      <w:r w:rsidRPr="00A517E3">
        <w:rPr>
          <w:sz w:val="24"/>
        </w:rPr>
        <w:t>Double chase</w:t>
      </w:r>
      <w:r>
        <w:rPr>
          <w:sz w:val="24"/>
        </w:rPr>
        <w:t xml:space="preserve"> – 60 mines</w:t>
      </w:r>
    </w:p>
    <w:p w14:paraId="7FBE9208" w14:textId="77777777" w:rsidR="00A6282A" w:rsidRPr="00A517E3" w:rsidRDefault="00A6282A" w:rsidP="00A6282A">
      <w:pPr>
        <w:pStyle w:val="ListParagraph"/>
        <w:numPr>
          <w:ilvl w:val="3"/>
          <w:numId w:val="41"/>
        </w:numPr>
        <w:rPr>
          <w:sz w:val="24"/>
        </w:rPr>
      </w:pPr>
      <w:r>
        <w:rPr>
          <w:sz w:val="24"/>
        </w:rPr>
        <w:t>T</w:t>
      </w:r>
      <w:r w:rsidRPr="00A517E3">
        <w:rPr>
          <w:sz w:val="24"/>
        </w:rPr>
        <w:t>riple c</w:t>
      </w:r>
      <w:r>
        <w:rPr>
          <w:sz w:val="24"/>
        </w:rPr>
        <w:tab/>
      </w:r>
      <w:proofErr w:type="spellStart"/>
      <w:r w:rsidRPr="00A517E3">
        <w:rPr>
          <w:sz w:val="24"/>
        </w:rPr>
        <w:t>hase</w:t>
      </w:r>
      <w:proofErr w:type="spellEnd"/>
      <w:r>
        <w:rPr>
          <w:sz w:val="24"/>
        </w:rPr>
        <w:t xml:space="preserve"> – 90 mines</w:t>
      </w:r>
    </w:p>
    <w:p w14:paraId="4CF542BA" w14:textId="77777777" w:rsidR="00A6282A" w:rsidRDefault="00A6282A" w:rsidP="00A6282A">
      <w:pPr>
        <w:pStyle w:val="ListParagraph"/>
        <w:numPr>
          <w:ilvl w:val="2"/>
          <w:numId w:val="41"/>
        </w:numPr>
        <w:rPr>
          <w:sz w:val="24"/>
        </w:rPr>
      </w:pPr>
      <w:r>
        <w:rPr>
          <w:sz w:val="24"/>
        </w:rPr>
        <w:t xml:space="preserve">Pyrotechnic </w:t>
      </w:r>
    </w:p>
    <w:p w14:paraId="780DC34B" w14:textId="77777777" w:rsidR="00A6282A" w:rsidRDefault="00A6282A" w:rsidP="00A6282A">
      <w:pPr>
        <w:pStyle w:val="ListParagraph"/>
        <w:numPr>
          <w:ilvl w:val="3"/>
          <w:numId w:val="41"/>
        </w:numPr>
        <w:rPr>
          <w:sz w:val="24"/>
        </w:rPr>
      </w:pPr>
      <w:r>
        <w:rPr>
          <w:sz w:val="24"/>
        </w:rPr>
        <w:t xml:space="preserve">48 or 100 mm </w:t>
      </w:r>
      <w:proofErr w:type="gramStart"/>
      <w:r>
        <w:rPr>
          <w:sz w:val="24"/>
        </w:rPr>
        <w:t>Orange and Silver</w:t>
      </w:r>
      <w:proofErr w:type="gramEnd"/>
      <w:r>
        <w:rPr>
          <w:sz w:val="24"/>
        </w:rPr>
        <w:t xml:space="preserve"> mine</w:t>
      </w:r>
    </w:p>
    <w:p w14:paraId="4309F966" w14:textId="77777777" w:rsidR="00A6282A" w:rsidRDefault="00A6282A" w:rsidP="00A6282A">
      <w:pPr>
        <w:pStyle w:val="ListParagraph"/>
        <w:numPr>
          <w:ilvl w:val="3"/>
          <w:numId w:val="41"/>
        </w:numPr>
        <w:rPr>
          <w:sz w:val="24"/>
        </w:rPr>
      </w:pPr>
      <w:proofErr w:type="gramStart"/>
      <w:r>
        <w:rPr>
          <w:sz w:val="24"/>
        </w:rPr>
        <w:t>48 or 100 mm</w:t>
      </w:r>
      <w:proofErr w:type="gramEnd"/>
      <w:r>
        <w:rPr>
          <w:sz w:val="24"/>
        </w:rPr>
        <w:t xml:space="preserve"> Orange and White mine</w:t>
      </w:r>
    </w:p>
    <w:p w14:paraId="70B1A048" w14:textId="77777777" w:rsidR="00A6282A" w:rsidRDefault="00A6282A" w:rsidP="00A6282A">
      <w:pPr>
        <w:pStyle w:val="ListParagraph"/>
        <w:numPr>
          <w:ilvl w:val="3"/>
          <w:numId w:val="41"/>
        </w:numPr>
        <w:rPr>
          <w:sz w:val="24"/>
        </w:rPr>
      </w:pPr>
      <w:r>
        <w:rPr>
          <w:sz w:val="24"/>
        </w:rPr>
        <w:t xml:space="preserve">48 or 100 mm </w:t>
      </w:r>
      <w:proofErr w:type="gramStart"/>
      <w:r>
        <w:rPr>
          <w:sz w:val="24"/>
        </w:rPr>
        <w:t>Red</w:t>
      </w:r>
      <w:proofErr w:type="gramEnd"/>
      <w:r>
        <w:rPr>
          <w:sz w:val="24"/>
        </w:rPr>
        <w:t xml:space="preserve"> mine</w:t>
      </w:r>
    </w:p>
    <w:p w14:paraId="695EEF60" w14:textId="77777777" w:rsidR="00A6282A" w:rsidRDefault="00A6282A" w:rsidP="00A6282A">
      <w:pPr>
        <w:pStyle w:val="ListParagraph"/>
        <w:numPr>
          <w:ilvl w:val="3"/>
          <w:numId w:val="41"/>
        </w:numPr>
        <w:rPr>
          <w:sz w:val="24"/>
        </w:rPr>
      </w:pPr>
      <w:proofErr w:type="gramStart"/>
      <w:r>
        <w:rPr>
          <w:sz w:val="24"/>
        </w:rPr>
        <w:t>48 or 100 mm</w:t>
      </w:r>
      <w:proofErr w:type="gramEnd"/>
      <w:r>
        <w:rPr>
          <w:sz w:val="24"/>
        </w:rPr>
        <w:t xml:space="preserve"> White mine</w:t>
      </w:r>
    </w:p>
    <w:p w14:paraId="7A123493" w14:textId="77777777" w:rsidR="00A6282A" w:rsidRDefault="00A6282A" w:rsidP="00A6282A">
      <w:pPr>
        <w:pStyle w:val="ListParagraph"/>
        <w:numPr>
          <w:ilvl w:val="3"/>
          <w:numId w:val="41"/>
        </w:numPr>
        <w:rPr>
          <w:sz w:val="24"/>
        </w:rPr>
      </w:pPr>
      <w:proofErr w:type="gramStart"/>
      <w:r>
        <w:rPr>
          <w:sz w:val="24"/>
        </w:rPr>
        <w:t>48 or 100 mm</w:t>
      </w:r>
      <w:proofErr w:type="gramEnd"/>
      <w:r>
        <w:rPr>
          <w:sz w:val="24"/>
        </w:rPr>
        <w:t xml:space="preserve"> Crackle mine</w:t>
      </w:r>
    </w:p>
    <w:p w14:paraId="2777F187" w14:textId="77777777" w:rsidR="00A6282A" w:rsidRDefault="00A6282A" w:rsidP="00A6282A">
      <w:pPr>
        <w:pStyle w:val="ListParagraph"/>
        <w:numPr>
          <w:ilvl w:val="2"/>
          <w:numId w:val="41"/>
        </w:numPr>
        <w:rPr>
          <w:sz w:val="24"/>
        </w:rPr>
      </w:pPr>
      <w:r>
        <w:rPr>
          <w:sz w:val="24"/>
        </w:rPr>
        <w:t>Game Elements</w:t>
      </w:r>
    </w:p>
    <w:p w14:paraId="3F7980EA" w14:textId="77777777" w:rsidR="00A6282A" w:rsidRDefault="00A6282A" w:rsidP="00A6282A">
      <w:pPr>
        <w:pStyle w:val="ListParagraph"/>
        <w:numPr>
          <w:ilvl w:val="3"/>
          <w:numId w:val="41"/>
        </w:numPr>
        <w:rPr>
          <w:sz w:val="24"/>
        </w:rPr>
      </w:pPr>
      <w:r>
        <w:rPr>
          <w:sz w:val="24"/>
        </w:rPr>
        <w:t>General Welcome</w:t>
      </w:r>
    </w:p>
    <w:p w14:paraId="335365AE" w14:textId="77777777" w:rsidR="00A6282A" w:rsidRPr="00A517E3" w:rsidRDefault="00A6282A" w:rsidP="00A6282A">
      <w:pPr>
        <w:pStyle w:val="ListParagraph"/>
        <w:numPr>
          <w:ilvl w:val="3"/>
          <w:numId w:val="41"/>
        </w:numPr>
        <w:rPr>
          <w:sz w:val="24"/>
        </w:rPr>
      </w:pPr>
      <w:r>
        <w:rPr>
          <w:sz w:val="24"/>
        </w:rPr>
        <w:t>National Anthem – shots on Rockets, Bombs, and Brave</w:t>
      </w:r>
    </w:p>
    <w:p w14:paraId="2170816E" w14:textId="77777777" w:rsidR="00A6282A" w:rsidRDefault="00A6282A" w:rsidP="00A6282A">
      <w:pPr>
        <w:pStyle w:val="ListParagraph"/>
        <w:numPr>
          <w:ilvl w:val="3"/>
          <w:numId w:val="41"/>
        </w:numPr>
        <w:rPr>
          <w:sz w:val="24"/>
        </w:rPr>
      </w:pPr>
      <w:r>
        <w:rPr>
          <w:sz w:val="24"/>
        </w:rPr>
        <w:t>Team through the T</w:t>
      </w:r>
    </w:p>
    <w:p w14:paraId="74221BCB" w14:textId="77777777" w:rsidR="00A6282A" w:rsidRDefault="00A6282A" w:rsidP="00A6282A">
      <w:pPr>
        <w:pStyle w:val="ListParagraph"/>
        <w:numPr>
          <w:ilvl w:val="3"/>
          <w:numId w:val="41"/>
        </w:numPr>
        <w:rPr>
          <w:sz w:val="24"/>
        </w:rPr>
      </w:pPr>
      <w:r>
        <w:rPr>
          <w:sz w:val="24"/>
        </w:rPr>
        <w:t>Touchdown</w:t>
      </w:r>
    </w:p>
    <w:p w14:paraId="5B913BD9" w14:textId="77777777" w:rsidR="00A6282A" w:rsidRDefault="00A6282A" w:rsidP="00A6282A">
      <w:pPr>
        <w:pStyle w:val="ListParagraph"/>
        <w:numPr>
          <w:ilvl w:val="3"/>
          <w:numId w:val="41"/>
        </w:numPr>
        <w:rPr>
          <w:sz w:val="24"/>
        </w:rPr>
      </w:pPr>
      <w:r>
        <w:rPr>
          <w:sz w:val="24"/>
        </w:rPr>
        <w:t>Game Win</w:t>
      </w:r>
    </w:p>
    <w:p w14:paraId="6DB1CC78" w14:textId="77777777" w:rsidR="00A6282A" w:rsidRDefault="00A6282A" w:rsidP="00A6282A">
      <w:pPr>
        <w:pStyle w:val="ListParagraph"/>
        <w:numPr>
          <w:ilvl w:val="3"/>
          <w:numId w:val="41"/>
        </w:numPr>
        <w:rPr>
          <w:sz w:val="24"/>
        </w:rPr>
      </w:pPr>
      <w:r>
        <w:rPr>
          <w:sz w:val="24"/>
        </w:rPr>
        <w:t>Additional options within band performance</w:t>
      </w:r>
    </w:p>
    <w:p w14:paraId="58FE1339" w14:textId="00EE3C1D" w:rsidR="00A6282A" w:rsidRPr="00A6282A" w:rsidRDefault="00A6282A" w:rsidP="00A6282A">
      <w:pPr>
        <w:ind w:left="1440"/>
        <w:rPr>
          <w:sz w:val="24"/>
        </w:rPr>
      </w:pPr>
      <w:r w:rsidRPr="00A6282A">
        <w:rPr>
          <w:sz w:val="24"/>
          <w:highlight w:val="yellow"/>
          <w:u w:val="single"/>
        </w:rPr>
        <w:t>Response</w:t>
      </w:r>
      <w:r>
        <w:rPr>
          <w:sz w:val="24"/>
        </w:rPr>
        <w:t>:</w:t>
      </w:r>
    </w:p>
    <w:p w14:paraId="263466D2" w14:textId="233E4681" w:rsidR="00A6282A" w:rsidRPr="00A6282A" w:rsidRDefault="00C420E7" w:rsidP="00A6282A">
      <w:pPr>
        <w:pStyle w:val="ListParagraph"/>
        <w:numPr>
          <w:ilvl w:val="1"/>
          <w:numId w:val="41"/>
        </w:numPr>
        <w:rPr>
          <w:b/>
          <w:bCs/>
          <w:sz w:val="24"/>
        </w:rPr>
      </w:pPr>
      <w:r>
        <w:rPr>
          <w:b/>
          <w:bCs/>
          <w:sz w:val="24"/>
        </w:rPr>
        <w:t>Food City Center</w:t>
      </w:r>
      <w:r w:rsidR="00A6282A" w:rsidRPr="00A6282A">
        <w:rPr>
          <w:b/>
          <w:bCs/>
          <w:sz w:val="24"/>
        </w:rPr>
        <w:t xml:space="preserve"> | Men’s Basketball</w:t>
      </w:r>
    </w:p>
    <w:p w14:paraId="43595C75" w14:textId="77777777" w:rsidR="00A6282A" w:rsidRDefault="00A6282A" w:rsidP="00A6282A">
      <w:pPr>
        <w:pStyle w:val="ListParagraph"/>
        <w:numPr>
          <w:ilvl w:val="2"/>
          <w:numId w:val="41"/>
        </w:numPr>
        <w:rPr>
          <w:sz w:val="24"/>
        </w:rPr>
      </w:pPr>
      <w:r>
        <w:rPr>
          <w:sz w:val="24"/>
        </w:rPr>
        <w:t xml:space="preserve">Close proximity pyrotechnic elements for basketball games must be contained within two (2) carts on </w:t>
      </w:r>
      <w:proofErr w:type="gramStart"/>
      <w:r>
        <w:rPr>
          <w:sz w:val="24"/>
        </w:rPr>
        <w:t>wheels</w:t>
      </w:r>
      <w:proofErr w:type="gramEnd"/>
    </w:p>
    <w:p w14:paraId="563CC9FF" w14:textId="77777777" w:rsidR="00A6282A" w:rsidRDefault="00A6282A" w:rsidP="00A6282A">
      <w:pPr>
        <w:pStyle w:val="ListParagraph"/>
        <w:numPr>
          <w:ilvl w:val="2"/>
          <w:numId w:val="41"/>
        </w:numPr>
        <w:rPr>
          <w:sz w:val="24"/>
        </w:rPr>
      </w:pPr>
      <w:r>
        <w:rPr>
          <w:sz w:val="24"/>
        </w:rPr>
        <w:t xml:space="preserve">Each cart must have the ability to fire without </w:t>
      </w:r>
      <w:proofErr w:type="gramStart"/>
      <w:r>
        <w:rPr>
          <w:sz w:val="24"/>
        </w:rPr>
        <w:t>reload</w:t>
      </w:r>
      <w:proofErr w:type="gramEnd"/>
    </w:p>
    <w:p w14:paraId="751E1F23" w14:textId="77777777" w:rsidR="00A6282A" w:rsidRDefault="00A6282A" w:rsidP="00A6282A">
      <w:pPr>
        <w:pStyle w:val="ListParagraph"/>
        <w:numPr>
          <w:ilvl w:val="3"/>
          <w:numId w:val="41"/>
        </w:numPr>
        <w:rPr>
          <w:sz w:val="24"/>
        </w:rPr>
      </w:pPr>
      <w:r>
        <w:rPr>
          <w:sz w:val="24"/>
        </w:rPr>
        <w:t xml:space="preserve">Five (5) - 1x40 Silver </w:t>
      </w:r>
      <w:proofErr w:type="spellStart"/>
      <w:r>
        <w:rPr>
          <w:sz w:val="24"/>
        </w:rPr>
        <w:t>Gerbs</w:t>
      </w:r>
      <w:proofErr w:type="spellEnd"/>
    </w:p>
    <w:p w14:paraId="1F9D8A50" w14:textId="77777777" w:rsidR="00A6282A" w:rsidRPr="00DB0067" w:rsidRDefault="00A6282A" w:rsidP="00A6282A">
      <w:pPr>
        <w:pStyle w:val="ListParagraph"/>
        <w:numPr>
          <w:ilvl w:val="3"/>
          <w:numId w:val="41"/>
        </w:numPr>
        <w:rPr>
          <w:sz w:val="24"/>
        </w:rPr>
      </w:pPr>
      <w:r>
        <w:rPr>
          <w:sz w:val="24"/>
        </w:rPr>
        <w:t xml:space="preserve">Minimum of ten (10) bursts from Quad Pro Flame Unit </w:t>
      </w:r>
    </w:p>
    <w:p w14:paraId="79CFD7A1" w14:textId="16B47CAA" w:rsidR="00A6282A" w:rsidRDefault="00A6282A" w:rsidP="00A6282A">
      <w:pPr>
        <w:pStyle w:val="ListParagraph"/>
        <w:numPr>
          <w:ilvl w:val="2"/>
          <w:numId w:val="41"/>
        </w:numPr>
        <w:rPr>
          <w:sz w:val="24"/>
        </w:rPr>
      </w:pPr>
      <w:r>
        <w:rPr>
          <w:sz w:val="24"/>
        </w:rPr>
        <w:t>Silver Airbursts, as TBD add-on</w:t>
      </w:r>
    </w:p>
    <w:p w14:paraId="251F3377" w14:textId="7514D7CA" w:rsidR="00A6282A" w:rsidRPr="00A6282A" w:rsidRDefault="00A6282A" w:rsidP="00A6282A">
      <w:pPr>
        <w:ind w:left="1440"/>
        <w:rPr>
          <w:sz w:val="24"/>
        </w:rPr>
      </w:pPr>
      <w:r w:rsidRPr="00A6282A">
        <w:rPr>
          <w:sz w:val="24"/>
          <w:highlight w:val="yellow"/>
          <w:u w:val="single"/>
        </w:rPr>
        <w:t>Response</w:t>
      </w:r>
      <w:r>
        <w:rPr>
          <w:sz w:val="24"/>
        </w:rPr>
        <w:t xml:space="preserve">: </w:t>
      </w:r>
    </w:p>
    <w:p w14:paraId="35904103" w14:textId="5BB8CB0D" w:rsidR="00A6282A" w:rsidRPr="00A6282A" w:rsidRDefault="00C420E7" w:rsidP="00A6282A">
      <w:pPr>
        <w:pStyle w:val="ListParagraph"/>
        <w:numPr>
          <w:ilvl w:val="1"/>
          <w:numId w:val="41"/>
        </w:numPr>
        <w:rPr>
          <w:b/>
          <w:bCs/>
          <w:sz w:val="24"/>
        </w:rPr>
      </w:pPr>
      <w:r>
        <w:rPr>
          <w:b/>
          <w:bCs/>
          <w:sz w:val="24"/>
        </w:rPr>
        <w:t>Food City Center</w:t>
      </w:r>
      <w:r w:rsidR="00A6282A" w:rsidRPr="00A6282A">
        <w:rPr>
          <w:b/>
          <w:bCs/>
          <w:sz w:val="24"/>
        </w:rPr>
        <w:t xml:space="preserve"> | Women’s Basketball</w:t>
      </w:r>
    </w:p>
    <w:p w14:paraId="7A1ADDF0" w14:textId="77777777" w:rsidR="00A6282A" w:rsidRDefault="00A6282A" w:rsidP="00A6282A">
      <w:pPr>
        <w:pStyle w:val="ListParagraph"/>
        <w:numPr>
          <w:ilvl w:val="2"/>
          <w:numId w:val="41"/>
        </w:numPr>
        <w:rPr>
          <w:sz w:val="24"/>
        </w:rPr>
      </w:pPr>
      <w:r>
        <w:rPr>
          <w:sz w:val="24"/>
        </w:rPr>
        <w:lastRenderedPageBreak/>
        <w:t xml:space="preserve">Close proximity pyrotechnic elements for basketball games must be contained within two (2) carts on </w:t>
      </w:r>
      <w:proofErr w:type="gramStart"/>
      <w:r>
        <w:rPr>
          <w:sz w:val="24"/>
        </w:rPr>
        <w:t>wheels</w:t>
      </w:r>
      <w:proofErr w:type="gramEnd"/>
    </w:p>
    <w:p w14:paraId="73C135D2" w14:textId="77777777" w:rsidR="00A6282A" w:rsidRDefault="00A6282A" w:rsidP="00A6282A">
      <w:pPr>
        <w:pStyle w:val="ListParagraph"/>
        <w:numPr>
          <w:ilvl w:val="2"/>
          <w:numId w:val="41"/>
        </w:numPr>
        <w:rPr>
          <w:sz w:val="24"/>
        </w:rPr>
      </w:pPr>
      <w:r>
        <w:rPr>
          <w:sz w:val="24"/>
        </w:rPr>
        <w:t xml:space="preserve">All elements need to be fired via wireless </w:t>
      </w:r>
      <w:proofErr w:type="gramStart"/>
      <w:r>
        <w:rPr>
          <w:sz w:val="24"/>
        </w:rPr>
        <w:t>system</w:t>
      </w:r>
      <w:proofErr w:type="gramEnd"/>
    </w:p>
    <w:p w14:paraId="563AC062" w14:textId="77777777" w:rsidR="00A6282A" w:rsidRDefault="00A6282A" w:rsidP="00A6282A">
      <w:pPr>
        <w:pStyle w:val="ListParagraph"/>
        <w:numPr>
          <w:ilvl w:val="2"/>
          <w:numId w:val="41"/>
        </w:numPr>
        <w:rPr>
          <w:sz w:val="24"/>
        </w:rPr>
      </w:pPr>
      <w:r>
        <w:rPr>
          <w:sz w:val="24"/>
        </w:rPr>
        <w:t xml:space="preserve">Each cart must have the ability to hold and fire without </w:t>
      </w:r>
      <w:proofErr w:type="gramStart"/>
      <w:r>
        <w:rPr>
          <w:sz w:val="24"/>
        </w:rPr>
        <w:t>reload</w:t>
      </w:r>
      <w:proofErr w:type="gramEnd"/>
    </w:p>
    <w:p w14:paraId="26F35CA0" w14:textId="77777777" w:rsidR="00A6282A" w:rsidRDefault="00A6282A" w:rsidP="00A6282A">
      <w:pPr>
        <w:pStyle w:val="ListParagraph"/>
        <w:numPr>
          <w:ilvl w:val="3"/>
          <w:numId w:val="41"/>
        </w:numPr>
        <w:rPr>
          <w:sz w:val="24"/>
        </w:rPr>
      </w:pPr>
      <w:r>
        <w:rPr>
          <w:sz w:val="24"/>
        </w:rPr>
        <w:t xml:space="preserve">Six (6) - 1x40 Silver </w:t>
      </w:r>
      <w:proofErr w:type="spellStart"/>
      <w:r>
        <w:rPr>
          <w:sz w:val="24"/>
        </w:rPr>
        <w:t>Gerbs</w:t>
      </w:r>
      <w:proofErr w:type="spellEnd"/>
    </w:p>
    <w:p w14:paraId="6135249D" w14:textId="77777777" w:rsidR="00A6282A" w:rsidRPr="00DB0067" w:rsidRDefault="00A6282A" w:rsidP="00A6282A">
      <w:pPr>
        <w:pStyle w:val="ListParagraph"/>
        <w:numPr>
          <w:ilvl w:val="3"/>
          <w:numId w:val="41"/>
        </w:numPr>
        <w:rPr>
          <w:sz w:val="24"/>
        </w:rPr>
      </w:pPr>
      <w:r>
        <w:rPr>
          <w:sz w:val="24"/>
        </w:rPr>
        <w:t xml:space="preserve">Minimum of ten (10) bursts from Quad Pro Flame Unit </w:t>
      </w:r>
    </w:p>
    <w:p w14:paraId="4ECA879B" w14:textId="26CC028C" w:rsidR="00A6282A" w:rsidRDefault="00A6282A" w:rsidP="00A6282A">
      <w:pPr>
        <w:pStyle w:val="ListParagraph"/>
        <w:numPr>
          <w:ilvl w:val="2"/>
          <w:numId w:val="41"/>
        </w:numPr>
        <w:rPr>
          <w:sz w:val="24"/>
        </w:rPr>
      </w:pPr>
      <w:r>
        <w:rPr>
          <w:sz w:val="24"/>
        </w:rPr>
        <w:t>Silver Airbursts, as TBD add-on</w:t>
      </w:r>
    </w:p>
    <w:p w14:paraId="7B8A8CF9" w14:textId="31075813" w:rsidR="00A6282A" w:rsidRPr="00A6282A" w:rsidRDefault="00A6282A" w:rsidP="00A6282A">
      <w:pPr>
        <w:ind w:left="1440"/>
        <w:rPr>
          <w:sz w:val="24"/>
        </w:rPr>
      </w:pPr>
      <w:r w:rsidRPr="00A6282A">
        <w:rPr>
          <w:sz w:val="24"/>
          <w:highlight w:val="yellow"/>
          <w:u w:val="single"/>
        </w:rPr>
        <w:t>Response</w:t>
      </w:r>
      <w:r>
        <w:rPr>
          <w:sz w:val="24"/>
        </w:rPr>
        <w:t>:</w:t>
      </w:r>
    </w:p>
    <w:p w14:paraId="4AC126B7" w14:textId="77777777" w:rsidR="00A6282A" w:rsidRPr="009154A1" w:rsidRDefault="00A6282A" w:rsidP="00A6282A">
      <w:pPr>
        <w:pStyle w:val="ListParagraph"/>
        <w:numPr>
          <w:ilvl w:val="1"/>
          <w:numId w:val="41"/>
        </w:numPr>
        <w:rPr>
          <w:b/>
          <w:bCs/>
          <w:sz w:val="24"/>
        </w:rPr>
      </w:pPr>
      <w:r w:rsidRPr="009154A1">
        <w:rPr>
          <w:b/>
          <w:bCs/>
          <w:sz w:val="24"/>
        </w:rPr>
        <w:t>Other Athletic Events</w:t>
      </w:r>
    </w:p>
    <w:p w14:paraId="6EF71969" w14:textId="77777777" w:rsidR="00A6282A" w:rsidRDefault="00A6282A" w:rsidP="00A6282A">
      <w:pPr>
        <w:pStyle w:val="ListParagraph"/>
        <w:numPr>
          <w:ilvl w:val="2"/>
          <w:numId w:val="41"/>
        </w:numPr>
        <w:rPr>
          <w:sz w:val="24"/>
        </w:rPr>
      </w:pPr>
      <w:r>
        <w:rPr>
          <w:sz w:val="24"/>
        </w:rPr>
        <w:t>Baseball and Softball</w:t>
      </w:r>
    </w:p>
    <w:p w14:paraId="1896D6AB" w14:textId="77777777" w:rsidR="00A6282A" w:rsidRDefault="00A6282A" w:rsidP="00A6282A">
      <w:pPr>
        <w:pStyle w:val="ListParagraph"/>
        <w:numPr>
          <w:ilvl w:val="3"/>
          <w:numId w:val="41"/>
        </w:numPr>
        <w:rPr>
          <w:sz w:val="24"/>
        </w:rPr>
      </w:pPr>
      <w:r>
        <w:rPr>
          <w:sz w:val="24"/>
        </w:rPr>
        <w:t>National Anthem – shots on Rockets, Bombs, and Brave</w:t>
      </w:r>
    </w:p>
    <w:p w14:paraId="6DB62BF8" w14:textId="473319B6" w:rsidR="00A6282A" w:rsidRDefault="00675E91" w:rsidP="00A6282A">
      <w:pPr>
        <w:pStyle w:val="ListParagraph"/>
        <w:numPr>
          <w:ilvl w:val="3"/>
          <w:numId w:val="41"/>
        </w:numPr>
        <w:rPr>
          <w:sz w:val="24"/>
        </w:rPr>
      </w:pPr>
      <w:r>
        <w:rPr>
          <w:sz w:val="24"/>
        </w:rPr>
        <w:t>P</w:t>
      </w:r>
      <w:r w:rsidR="00A6282A">
        <w:rPr>
          <w:sz w:val="24"/>
        </w:rPr>
        <w:t xml:space="preserve">ost-game fireworks show, minimum of 3 </w:t>
      </w:r>
      <w:proofErr w:type="gramStart"/>
      <w:r w:rsidR="00A6282A">
        <w:rPr>
          <w:sz w:val="24"/>
        </w:rPr>
        <w:t>minutes</w:t>
      </w:r>
      <w:proofErr w:type="gramEnd"/>
    </w:p>
    <w:p w14:paraId="7C67DAA5" w14:textId="75C2AA6B" w:rsidR="00675E91" w:rsidRPr="00675E91" w:rsidRDefault="00675E91" w:rsidP="00675E91">
      <w:pPr>
        <w:ind w:left="1440" w:firstLine="540"/>
        <w:rPr>
          <w:sz w:val="24"/>
        </w:rPr>
      </w:pPr>
      <w:r w:rsidRPr="009154A1">
        <w:rPr>
          <w:sz w:val="24"/>
          <w:highlight w:val="yellow"/>
          <w:u w:val="single"/>
        </w:rPr>
        <w:t>Response</w:t>
      </w:r>
      <w:r>
        <w:rPr>
          <w:sz w:val="24"/>
        </w:rPr>
        <w:t xml:space="preserve">: </w:t>
      </w:r>
    </w:p>
    <w:p w14:paraId="549726F0" w14:textId="77777777" w:rsidR="00675E91" w:rsidRDefault="00675E91" w:rsidP="00675E91">
      <w:pPr>
        <w:pStyle w:val="ListParagraph"/>
        <w:numPr>
          <w:ilvl w:val="2"/>
          <w:numId w:val="41"/>
        </w:numPr>
        <w:rPr>
          <w:sz w:val="24"/>
        </w:rPr>
      </w:pPr>
      <w:r>
        <w:rPr>
          <w:sz w:val="24"/>
        </w:rPr>
        <w:t xml:space="preserve">Basketball pre-season event fireworks show, minimum of 3 </w:t>
      </w:r>
      <w:proofErr w:type="gramStart"/>
      <w:r>
        <w:rPr>
          <w:sz w:val="24"/>
        </w:rPr>
        <w:t>minutes</w:t>
      </w:r>
      <w:proofErr w:type="gramEnd"/>
    </w:p>
    <w:p w14:paraId="35843E28" w14:textId="1C3E1F9C" w:rsidR="00675E91" w:rsidRPr="00675E91" w:rsidRDefault="00675E91" w:rsidP="00675E91">
      <w:pPr>
        <w:ind w:left="1440" w:firstLine="540"/>
        <w:rPr>
          <w:sz w:val="24"/>
        </w:rPr>
      </w:pPr>
      <w:r>
        <w:rPr>
          <w:sz w:val="24"/>
          <w:highlight w:val="yellow"/>
          <w:u w:val="single"/>
        </w:rPr>
        <w:t>Response</w:t>
      </w:r>
      <w:r>
        <w:rPr>
          <w:sz w:val="24"/>
        </w:rPr>
        <w:t xml:space="preserve">: </w:t>
      </w:r>
    </w:p>
    <w:p w14:paraId="5B764E74" w14:textId="77777777" w:rsidR="002230E3" w:rsidRPr="002230E3" w:rsidRDefault="00B86655" w:rsidP="002230E3">
      <w:pPr>
        <w:pStyle w:val="ListParagraph"/>
        <w:numPr>
          <w:ilvl w:val="2"/>
          <w:numId w:val="41"/>
        </w:numPr>
        <w:rPr>
          <w:sz w:val="24"/>
        </w:rPr>
      </w:pPr>
      <w:r w:rsidRPr="002230E3">
        <w:rPr>
          <w:sz w:val="24"/>
        </w:rPr>
        <w:t xml:space="preserve">Additionally, please note that the University reserves the right to introduce new events and may request pyrotechnic services for such events at any time with as little as 24 </w:t>
      </w:r>
      <w:proofErr w:type="gramStart"/>
      <w:r w:rsidRPr="002230E3">
        <w:rPr>
          <w:sz w:val="24"/>
        </w:rPr>
        <w:t>hours-notice</w:t>
      </w:r>
      <w:proofErr w:type="gramEnd"/>
      <w:r w:rsidRPr="002230E3">
        <w:rPr>
          <w:sz w:val="24"/>
        </w:rPr>
        <w:t xml:space="preserve">. </w:t>
      </w:r>
      <w:r w:rsidR="002230E3" w:rsidRPr="002230E3">
        <w:rPr>
          <w:sz w:val="24"/>
        </w:rPr>
        <w:t>Please demonstrate your company's capability to promptly accommodate last-minute events, such as College Game Day.</w:t>
      </w:r>
    </w:p>
    <w:p w14:paraId="57278B24" w14:textId="2169307F" w:rsidR="00A6282A" w:rsidRPr="002230E3" w:rsidRDefault="00A6282A" w:rsidP="002230E3">
      <w:pPr>
        <w:ind w:left="1440"/>
        <w:rPr>
          <w:sz w:val="24"/>
        </w:rPr>
      </w:pPr>
      <w:r w:rsidRPr="002230E3">
        <w:rPr>
          <w:sz w:val="24"/>
          <w:highlight w:val="yellow"/>
          <w:u w:val="single"/>
        </w:rPr>
        <w:t>Response</w:t>
      </w:r>
      <w:r w:rsidRPr="002230E3">
        <w:rPr>
          <w:sz w:val="24"/>
        </w:rPr>
        <w:t xml:space="preserve">: </w:t>
      </w:r>
    </w:p>
    <w:p w14:paraId="23BE03C3" w14:textId="7983200B" w:rsidR="00B86655" w:rsidRDefault="00A6282A" w:rsidP="00B86655">
      <w:pPr>
        <w:pStyle w:val="ListParagraph"/>
        <w:numPr>
          <w:ilvl w:val="1"/>
          <w:numId w:val="41"/>
        </w:numPr>
        <w:rPr>
          <w:sz w:val="24"/>
        </w:rPr>
      </w:pPr>
      <w:r w:rsidRPr="00C420E7">
        <w:rPr>
          <w:b/>
          <w:bCs/>
          <w:sz w:val="24"/>
          <w:u w:val="single"/>
        </w:rPr>
        <w:t>Travel</w:t>
      </w:r>
      <w:r w:rsidRPr="009154A1">
        <w:rPr>
          <w:b/>
          <w:bCs/>
          <w:sz w:val="24"/>
        </w:rPr>
        <w:t xml:space="preserve"> </w:t>
      </w:r>
      <w:r>
        <w:rPr>
          <w:sz w:val="24"/>
        </w:rPr>
        <w:t xml:space="preserve">is not </w:t>
      </w:r>
      <w:r w:rsidR="00B86655" w:rsidRPr="00B86655">
        <w:rPr>
          <w:sz w:val="24"/>
        </w:rPr>
        <w:t xml:space="preserve">anticipated as a mandatory component for fulfilling the requirements outlined in this RFP. </w:t>
      </w:r>
      <w:r w:rsidR="002230E3" w:rsidRPr="002230E3">
        <w:rPr>
          <w:sz w:val="24"/>
        </w:rPr>
        <w:t xml:space="preserve">The University </w:t>
      </w:r>
      <w:r w:rsidR="002230E3">
        <w:rPr>
          <w:sz w:val="24"/>
        </w:rPr>
        <w:t>prefers</w:t>
      </w:r>
      <w:r w:rsidR="002230E3" w:rsidRPr="002230E3">
        <w:rPr>
          <w:sz w:val="24"/>
        </w:rPr>
        <w:t xml:space="preserve"> vendors who have multiple certified operators located within a </w:t>
      </w:r>
      <w:proofErr w:type="gramStart"/>
      <w:r w:rsidR="002230E3" w:rsidRPr="002230E3">
        <w:rPr>
          <w:sz w:val="24"/>
        </w:rPr>
        <w:t>50-75 mile</w:t>
      </w:r>
      <w:proofErr w:type="gramEnd"/>
      <w:r w:rsidR="002230E3" w:rsidRPr="002230E3">
        <w:rPr>
          <w:sz w:val="24"/>
        </w:rPr>
        <w:t xml:space="preserve"> radius of Knoxville.</w:t>
      </w:r>
      <w:r w:rsidR="002230E3" w:rsidRPr="002230E3">
        <w:rPr>
          <w:sz w:val="24"/>
        </w:rPr>
        <w:t xml:space="preserve"> </w:t>
      </w:r>
      <w:r w:rsidR="00B86655" w:rsidRPr="00B86655">
        <w:rPr>
          <w:sz w:val="24"/>
        </w:rPr>
        <w:t>However, should a respondent deem travel necessary, it must be included in the proposed cost. No reimbursement for travel expenses will be provided under this contract unless explicitly incorporated into the proposal.</w:t>
      </w:r>
      <w:r w:rsidR="00B86655">
        <w:rPr>
          <w:sz w:val="24"/>
        </w:rPr>
        <w:t xml:space="preserve"> Please provide a travel plan if necessary. </w:t>
      </w:r>
    </w:p>
    <w:p w14:paraId="4EC8A3D2" w14:textId="73FB0189" w:rsidR="00BB47F4" w:rsidRPr="00BB47F4" w:rsidRDefault="00BB47F4" w:rsidP="00BB47F4">
      <w:pPr>
        <w:ind w:left="1440" w:firstLine="540"/>
        <w:rPr>
          <w:sz w:val="24"/>
        </w:rPr>
      </w:pPr>
      <w:r w:rsidRPr="009154A1">
        <w:rPr>
          <w:sz w:val="24"/>
          <w:highlight w:val="yellow"/>
          <w:u w:val="single"/>
        </w:rPr>
        <w:t>Response</w:t>
      </w:r>
      <w:r>
        <w:rPr>
          <w:sz w:val="24"/>
        </w:rPr>
        <w:t xml:space="preserve">: </w:t>
      </w:r>
    </w:p>
    <w:p w14:paraId="4B95583D" w14:textId="3FAA2094" w:rsidR="00BB47F4" w:rsidRPr="00BB47F4" w:rsidRDefault="00BB47F4" w:rsidP="00BB47F4">
      <w:pPr>
        <w:pStyle w:val="ListParagraph"/>
        <w:numPr>
          <w:ilvl w:val="1"/>
          <w:numId w:val="41"/>
        </w:numPr>
        <w:rPr>
          <w:sz w:val="24"/>
        </w:rPr>
      </w:pPr>
      <w:r w:rsidRPr="00C420E7">
        <w:rPr>
          <w:b/>
          <w:bCs/>
          <w:sz w:val="24"/>
          <w:u w:val="single"/>
        </w:rPr>
        <w:t>Demonstrations</w:t>
      </w:r>
      <w:r w:rsidRPr="00C420E7">
        <w:rPr>
          <w:b/>
          <w:bCs/>
          <w:sz w:val="24"/>
        </w:rPr>
        <w:t xml:space="preserve"> -</w:t>
      </w:r>
      <w:r>
        <w:rPr>
          <w:b/>
          <w:bCs/>
          <w:sz w:val="24"/>
        </w:rPr>
        <w:t xml:space="preserve"> </w:t>
      </w:r>
      <w:r>
        <w:rPr>
          <w:sz w:val="24"/>
        </w:rPr>
        <w:t>T</w:t>
      </w:r>
      <w:r w:rsidRPr="00BB47F4">
        <w:rPr>
          <w:sz w:val="24"/>
        </w:rPr>
        <w:t xml:space="preserve">he University intends to hold an in-person demonstration to assess the suitability of the fireworks </w:t>
      </w:r>
      <w:proofErr w:type="gramStart"/>
      <w:r w:rsidRPr="00BB47F4">
        <w:rPr>
          <w:sz w:val="24"/>
        </w:rPr>
        <w:t>proposed</w:t>
      </w:r>
      <w:proofErr w:type="gramEnd"/>
      <w:r w:rsidRPr="00BB47F4">
        <w:rPr>
          <w:sz w:val="24"/>
        </w:rPr>
        <w:t xml:space="preserve"> by the top-scoring suppliers. The </w:t>
      </w:r>
      <w:r w:rsidRPr="00BB47F4">
        <w:rPr>
          <w:sz w:val="24"/>
        </w:rPr>
        <w:lastRenderedPageBreak/>
        <w:t>purpose of this demonstration is to ensure alignment between the information provided in the financial proposals and the actual product that will be delivered.</w:t>
      </w:r>
    </w:p>
    <w:p w14:paraId="0AFCEB41" w14:textId="57E41A5F" w:rsidR="00C420E7" w:rsidRDefault="00C420E7" w:rsidP="00BB47F4">
      <w:pPr>
        <w:pStyle w:val="ListParagraph"/>
        <w:numPr>
          <w:ilvl w:val="2"/>
          <w:numId w:val="41"/>
        </w:numPr>
        <w:rPr>
          <w:sz w:val="24"/>
        </w:rPr>
      </w:pPr>
      <w:r>
        <w:rPr>
          <w:sz w:val="24"/>
        </w:rPr>
        <w:t>Top-Scoring Suppliers should expect to provide a comprehensive demonstration of capabilities at Neyland Stadium that replicates the presentation format for a Home Football Gameday</w:t>
      </w:r>
    </w:p>
    <w:p w14:paraId="3B6707D5" w14:textId="5B529A79" w:rsidR="00BB47F4" w:rsidRPr="00BB47F4" w:rsidRDefault="00BB47F4" w:rsidP="00BB47F4">
      <w:pPr>
        <w:pStyle w:val="ListParagraph"/>
        <w:numPr>
          <w:ilvl w:val="2"/>
          <w:numId w:val="41"/>
        </w:numPr>
        <w:rPr>
          <w:sz w:val="24"/>
        </w:rPr>
      </w:pPr>
      <w:r w:rsidRPr="00BB47F4">
        <w:rPr>
          <w:sz w:val="24"/>
        </w:rPr>
        <w:t>Suppliers are requested to be prepared to showcase the fireworks as detailed in their financial proposals during the demonstration. This presentation will offer valuable insights into the quality, performance, and compliance of the products offered.</w:t>
      </w:r>
    </w:p>
    <w:p w14:paraId="7F9A2DF5" w14:textId="57B849CD" w:rsidR="00BB47F4" w:rsidRPr="00BB47F4" w:rsidRDefault="00BB47F4" w:rsidP="00BB47F4">
      <w:pPr>
        <w:pStyle w:val="ListParagraph"/>
        <w:numPr>
          <w:ilvl w:val="2"/>
          <w:numId w:val="41"/>
        </w:numPr>
        <w:rPr>
          <w:sz w:val="24"/>
        </w:rPr>
      </w:pPr>
      <w:r w:rsidRPr="00BB47F4">
        <w:rPr>
          <w:sz w:val="24"/>
        </w:rPr>
        <w:t xml:space="preserve">Suppliers must ensure compliance with all local, city, and state regulations, as well as secure any necessary permits and safety officer requirements </w:t>
      </w:r>
      <w:proofErr w:type="gramStart"/>
      <w:r w:rsidRPr="00BB47F4">
        <w:rPr>
          <w:sz w:val="24"/>
        </w:rPr>
        <w:t>in order to</w:t>
      </w:r>
      <w:proofErr w:type="gramEnd"/>
      <w:r w:rsidRPr="00BB47F4">
        <w:rPr>
          <w:sz w:val="24"/>
        </w:rPr>
        <w:t xml:space="preserve"> execute the demonstration effectively.</w:t>
      </w:r>
    </w:p>
    <w:p w14:paraId="0050B0D0" w14:textId="507C6848" w:rsidR="00A6282A" w:rsidRPr="009154A1" w:rsidRDefault="00B86655" w:rsidP="00BB47F4">
      <w:pPr>
        <w:ind w:left="1440" w:firstLine="720"/>
        <w:rPr>
          <w:sz w:val="24"/>
        </w:rPr>
      </w:pPr>
      <w:r>
        <w:rPr>
          <w:sz w:val="24"/>
          <w:highlight w:val="yellow"/>
          <w:u w:val="single"/>
        </w:rPr>
        <w:t>Response</w:t>
      </w:r>
      <w:r>
        <w:rPr>
          <w:sz w:val="24"/>
        </w:rPr>
        <w:t xml:space="preserve">: </w:t>
      </w:r>
      <w:r w:rsidR="009154A1">
        <w:rPr>
          <w:sz w:val="24"/>
        </w:rPr>
        <w:t xml:space="preserve"> </w:t>
      </w:r>
    </w:p>
    <w:p w14:paraId="7C3FA3AB" w14:textId="77777777" w:rsidR="0059049E" w:rsidRDefault="0059049E" w:rsidP="002C4DE0">
      <w:pPr>
        <w:pStyle w:val="ListParagraph"/>
        <w:tabs>
          <w:tab w:val="left" w:pos="900"/>
        </w:tabs>
        <w:spacing w:line="240" w:lineRule="auto"/>
        <w:ind w:left="360"/>
        <w:rPr>
          <w:color w:val="FF0000"/>
          <w:sz w:val="24"/>
        </w:rPr>
      </w:pPr>
    </w:p>
    <w:p w14:paraId="3076DD18" w14:textId="77777777" w:rsidR="0059049E" w:rsidRDefault="0059049E" w:rsidP="002C4DE0">
      <w:pPr>
        <w:pStyle w:val="ListParagraph"/>
        <w:tabs>
          <w:tab w:val="left" w:pos="900"/>
        </w:tabs>
        <w:spacing w:line="240" w:lineRule="auto"/>
        <w:ind w:left="360"/>
        <w:rPr>
          <w:color w:val="FF0000"/>
          <w:sz w:val="24"/>
        </w:rPr>
      </w:pPr>
    </w:p>
    <w:p w14:paraId="5B0CB2DD" w14:textId="77777777" w:rsidR="0059049E" w:rsidRDefault="0059049E" w:rsidP="002C4DE0">
      <w:pPr>
        <w:pStyle w:val="ListParagraph"/>
        <w:tabs>
          <w:tab w:val="left" w:pos="900"/>
        </w:tabs>
        <w:spacing w:line="240" w:lineRule="auto"/>
        <w:ind w:left="360"/>
        <w:rPr>
          <w:color w:val="FF0000"/>
          <w:sz w:val="24"/>
        </w:rPr>
      </w:pPr>
    </w:p>
    <w:p w14:paraId="07DF3964" w14:textId="77777777" w:rsidR="009154A1" w:rsidRDefault="009154A1">
      <w:pPr>
        <w:spacing w:after="160" w:line="259" w:lineRule="auto"/>
        <w:rPr>
          <w:b/>
          <w:sz w:val="28"/>
        </w:rPr>
      </w:pPr>
      <w:r>
        <w:rPr>
          <w:b/>
          <w:sz w:val="28"/>
        </w:rPr>
        <w:br w:type="page"/>
      </w:r>
    </w:p>
    <w:p w14:paraId="1136BDA0" w14:textId="09727AD7" w:rsidR="0098496B" w:rsidRPr="00C76CF9" w:rsidRDefault="0098496B" w:rsidP="002C4DE0">
      <w:pPr>
        <w:pBdr>
          <w:bottom w:val="single" w:sz="4" w:space="1" w:color="auto"/>
        </w:pBdr>
        <w:spacing w:line="240" w:lineRule="auto"/>
        <w:rPr>
          <w:sz w:val="28"/>
        </w:rPr>
      </w:pPr>
      <w:r w:rsidRPr="00C76CF9">
        <w:rPr>
          <w:b/>
          <w:sz w:val="28"/>
        </w:rPr>
        <w:lastRenderedPageBreak/>
        <w:t>Section D: Cost Proposal</w:t>
      </w:r>
    </w:p>
    <w:p w14:paraId="5C3D45DF" w14:textId="6AC34C27" w:rsidR="005148A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sidR="005148AB">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sidR="005148AB">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w:t>
      </w:r>
      <w:r w:rsidR="00E85997">
        <w:rPr>
          <w:rFonts w:asciiTheme="minorHAnsi" w:hAnsiTheme="minorHAnsi" w:cstheme="minorHAnsi"/>
          <w:color w:val="000000"/>
          <w:sz w:val="24"/>
          <w:szCs w:val="24"/>
        </w:rPr>
        <w:t xml:space="preserve">calculate each cost.  The University will not be responsible for paying any costs that the winning Respondent fails to disclose.  </w:t>
      </w:r>
      <w:r w:rsidR="005148AB">
        <w:rPr>
          <w:rFonts w:asciiTheme="minorHAnsi" w:hAnsiTheme="minorHAnsi" w:cstheme="minorHAnsi"/>
          <w:color w:val="000000"/>
          <w:sz w:val="24"/>
          <w:szCs w:val="24"/>
        </w:rPr>
        <w:t xml:space="preserve">  </w:t>
      </w:r>
      <w:r w:rsidRPr="0098496B">
        <w:rPr>
          <w:rFonts w:asciiTheme="minorHAnsi" w:hAnsiTheme="minorHAnsi" w:cstheme="minorHAnsi"/>
          <w:color w:val="000000"/>
          <w:sz w:val="24"/>
          <w:szCs w:val="24"/>
        </w:rPr>
        <w:t xml:space="preserve">  </w:t>
      </w:r>
    </w:p>
    <w:p w14:paraId="35AE60A4" w14:textId="77777777" w:rsidR="0098496B" w:rsidRPr="0098496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  Procurement Services will calculate the costs scores based on the following formula:</w:t>
      </w:r>
    </w:p>
    <w:p w14:paraId="7DBE4B3E" w14:textId="77777777" w:rsidR="0098496B" w:rsidRPr="00EE293C" w:rsidRDefault="0098496B" w:rsidP="002C4DE0">
      <w:pPr>
        <w:pStyle w:val="ListParagraph"/>
        <w:spacing w:line="240" w:lineRule="auto"/>
        <w:ind w:left="0"/>
        <w:rPr>
          <w:rFonts w:asciiTheme="majorHAnsi" w:eastAsiaTheme="minorEastAsia" w:hAnsiTheme="majorHAnsi" w:cstheme="minorHAnsi"/>
          <w:b/>
          <w:sz w:val="24"/>
          <w:szCs w:val="24"/>
          <w:u w:val="single"/>
        </w:rPr>
      </w:pPr>
      <w:bookmarkStart w:id="9" w:name="_top"/>
      <w:bookmarkStart w:id="10" w:name="NONEXCLUSIVITYOFCONTRACT"/>
      <w:bookmarkEnd w:id="9"/>
      <w:bookmarkEnd w:id="10"/>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0859774C" w14:textId="77777777" w:rsidR="007E2680" w:rsidRDefault="0098496B" w:rsidP="002C4DE0">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6B425621" w14:textId="77777777" w:rsidR="00CF5FA6" w:rsidRDefault="00CF5FA6" w:rsidP="002C4DE0">
      <w:pPr>
        <w:pStyle w:val="ListParagraph"/>
        <w:spacing w:line="240" w:lineRule="auto"/>
        <w:ind w:left="0"/>
        <w:rPr>
          <w:rFonts w:asciiTheme="majorHAnsi" w:hAnsiTheme="majorHAnsi" w:cstheme="minorHAnsi"/>
          <w:b/>
          <w:sz w:val="24"/>
          <w:szCs w:val="24"/>
          <w:u w:val="single"/>
        </w:rPr>
      </w:pPr>
    </w:p>
    <w:p w14:paraId="6AEF20AE" w14:textId="77777777" w:rsidR="007E2680" w:rsidRPr="00317277" w:rsidRDefault="007E2680" w:rsidP="002C4DE0">
      <w:pPr>
        <w:pStyle w:val="ListParagraph"/>
        <w:tabs>
          <w:tab w:val="left" w:pos="900"/>
        </w:tabs>
        <w:spacing w:line="240" w:lineRule="auto"/>
        <w:ind w:left="360"/>
        <w:rPr>
          <w:b/>
          <w:sz w:val="24"/>
          <w:u w:val="single"/>
        </w:rPr>
      </w:pPr>
    </w:p>
    <w:p w14:paraId="72C5943E" w14:textId="6F17FB30" w:rsidR="00785FAE" w:rsidRPr="00785FAE" w:rsidRDefault="00073984" w:rsidP="00785FAE">
      <w:pPr>
        <w:pStyle w:val="ListParagraph"/>
        <w:numPr>
          <w:ilvl w:val="0"/>
          <w:numId w:val="34"/>
        </w:numPr>
        <w:tabs>
          <w:tab w:val="left" w:pos="900"/>
        </w:tabs>
        <w:spacing w:line="240" w:lineRule="auto"/>
        <w:rPr>
          <w:b/>
          <w:sz w:val="24"/>
          <w:u w:val="single"/>
        </w:rPr>
      </w:pPr>
      <w:r>
        <w:rPr>
          <w:b/>
          <w:sz w:val="24"/>
          <w:u w:val="single"/>
        </w:rPr>
        <w:t>Cost F</w:t>
      </w:r>
      <w:r w:rsidR="007E2680" w:rsidRPr="00317277">
        <w:rPr>
          <w:b/>
          <w:sz w:val="24"/>
          <w:u w:val="single"/>
        </w:rPr>
        <w:t>ormat</w:t>
      </w:r>
      <w:r w:rsidR="007E2680" w:rsidRPr="0050720A">
        <w:rPr>
          <w:b/>
          <w:sz w:val="24"/>
        </w:rPr>
        <w:t>:</w:t>
      </w:r>
      <w:r w:rsidR="00304FF4" w:rsidRPr="0050720A">
        <w:rPr>
          <w:b/>
          <w:sz w:val="24"/>
        </w:rPr>
        <w:t xml:space="preserve"> </w:t>
      </w:r>
      <w:r w:rsidR="009154A1">
        <w:rPr>
          <w:bCs/>
          <w:sz w:val="24"/>
        </w:rPr>
        <w:t xml:space="preserve">Please see the attached cost proposal </w:t>
      </w:r>
      <w:proofErr w:type="gramStart"/>
      <w:r w:rsidR="009154A1">
        <w:rPr>
          <w:bCs/>
          <w:sz w:val="24"/>
        </w:rPr>
        <w:t>spreadsheet, and</w:t>
      </w:r>
      <w:proofErr w:type="gramEnd"/>
      <w:r w:rsidR="009154A1">
        <w:rPr>
          <w:bCs/>
          <w:sz w:val="24"/>
        </w:rPr>
        <w:t xml:space="preserve"> provide your responses to the line items on the spreadsheet. </w:t>
      </w:r>
      <w:r w:rsidR="009154A1" w:rsidRPr="009154A1">
        <w:rPr>
          <w:bCs/>
          <w:sz w:val="24"/>
          <w:highlight w:val="yellow"/>
          <w:u w:val="single"/>
        </w:rPr>
        <w:t>Do not include pricing in this RFP document, as all pricing information must be in the cost proposal spreadsheet</w:t>
      </w:r>
      <w:r w:rsidR="009154A1">
        <w:rPr>
          <w:bCs/>
          <w:sz w:val="24"/>
        </w:rPr>
        <w:t xml:space="preserve">. </w:t>
      </w:r>
    </w:p>
    <w:p w14:paraId="20D4F10E" w14:textId="77777777" w:rsidR="00E85997" w:rsidRPr="00E85997" w:rsidRDefault="00E85997" w:rsidP="00E85997">
      <w:pPr>
        <w:pStyle w:val="ListParagraph"/>
        <w:tabs>
          <w:tab w:val="left" w:pos="900"/>
        </w:tabs>
        <w:spacing w:line="240" w:lineRule="auto"/>
        <w:ind w:left="360"/>
        <w:rPr>
          <w:b/>
          <w:sz w:val="28"/>
          <w:u w:val="single"/>
        </w:rPr>
      </w:pPr>
    </w:p>
    <w:p w14:paraId="24307A88" w14:textId="77777777" w:rsidR="00785FAE" w:rsidRPr="00785FAE" w:rsidRDefault="00785FAE" w:rsidP="00785FAE">
      <w:pPr>
        <w:pStyle w:val="ListParagraph"/>
        <w:numPr>
          <w:ilvl w:val="0"/>
          <w:numId w:val="34"/>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72D98214" w14:textId="77777777" w:rsidR="00785FAE" w:rsidRPr="00785FAE" w:rsidRDefault="00785FAE" w:rsidP="00785FAE">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1D602ED5" w14:textId="77777777" w:rsidR="00C03EF8" w:rsidRDefault="00C03EF8" w:rsidP="002C4DE0">
      <w:pPr>
        <w:autoSpaceDE w:val="0"/>
        <w:autoSpaceDN w:val="0"/>
        <w:adjustRightInd w:val="0"/>
        <w:spacing w:after="0" w:line="240" w:lineRule="auto"/>
        <w:rPr>
          <w:rFonts w:asciiTheme="minorHAnsi" w:eastAsia="Times New Roman" w:hAnsiTheme="minorHAnsi" w:cs="Arial"/>
          <w:sz w:val="28"/>
          <w:szCs w:val="28"/>
        </w:rPr>
      </w:pPr>
    </w:p>
    <w:p w14:paraId="0DF154B5"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7E4B677C"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2DCE080B"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54175B8C"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F1FE3A0"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256C3BD5"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44401187"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68ED35E4"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6F396177"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075CF2D1"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13DBF4A6"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78454B09"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155C8418"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19444EE2"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6C92F67C"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5D06F0B3"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6E4CF464" w14:textId="77777777" w:rsidR="00FE4E2D" w:rsidRPr="00FD1D91" w:rsidRDefault="00257756" w:rsidP="002C4DE0">
      <w:pPr>
        <w:pStyle w:val="Title"/>
        <w:jc w:val="center"/>
        <w:rPr>
          <w:sz w:val="36"/>
        </w:rPr>
      </w:pPr>
      <w:r>
        <w:rPr>
          <w:rStyle w:val="Strong"/>
          <w:sz w:val="36"/>
        </w:rPr>
        <w:lastRenderedPageBreak/>
        <w:t xml:space="preserve">Schedule </w:t>
      </w:r>
      <w:r w:rsidR="0050720A">
        <w:rPr>
          <w:rStyle w:val="Strong"/>
          <w:sz w:val="36"/>
        </w:rPr>
        <w:t>1</w:t>
      </w:r>
      <w:r w:rsidR="0050720A">
        <w:rPr>
          <w:rStyle w:val="Strong"/>
          <w:sz w:val="36"/>
        </w:rPr>
        <w:tab/>
      </w:r>
      <w:r w:rsidR="00782B7B" w:rsidRPr="00782B7B">
        <w:rPr>
          <w:rStyle w:val="Strong"/>
          <w:sz w:val="36"/>
        </w:rPr>
        <w:t xml:space="preserve">                                                                    </w:t>
      </w:r>
      <w:r w:rsidR="00782B7B" w:rsidRPr="00782B7B">
        <w:rPr>
          <w:rStyle w:val="Strong"/>
          <w:b w:val="0"/>
          <w:sz w:val="36"/>
        </w:rPr>
        <w:t>Purchasing Terms &amp; Conditions</w:t>
      </w:r>
      <w:r w:rsidR="00303C5A">
        <w:rPr>
          <w:rStyle w:val="Strong"/>
          <w:b w:val="0"/>
          <w:sz w:val="36"/>
        </w:rPr>
        <w:t xml:space="preserve"> version </w:t>
      </w:r>
      <w:proofErr w:type="gramStart"/>
      <w:r w:rsidR="00EE0DDF">
        <w:rPr>
          <w:rStyle w:val="Strong"/>
          <w:b w:val="0"/>
          <w:sz w:val="36"/>
        </w:rPr>
        <w:t>4.</w:t>
      </w:r>
      <w:r w:rsidR="00523DD6">
        <w:rPr>
          <w:rStyle w:val="Strong"/>
          <w:b w:val="0"/>
          <w:sz w:val="36"/>
        </w:rPr>
        <w:t>2</w:t>
      </w:r>
      <w:proofErr w:type="gramEnd"/>
    </w:p>
    <w:p w14:paraId="194899B7" w14:textId="77777777" w:rsidR="00D32585" w:rsidRPr="00FE010C"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113DBEDA" w14:textId="77777777" w:rsidR="00D32585"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08CF5B9C" w14:textId="77777777" w:rsidR="00523DD6"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2"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15FA1BCF" w14:textId="77777777" w:rsidR="00523DD6" w:rsidRPr="0043367C" w:rsidRDefault="00523DD6" w:rsidP="00523DD6">
      <w:pPr>
        <w:numPr>
          <w:ilvl w:val="0"/>
          <w:numId w:val="18"/>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37098727"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0392AA6E"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2CA0E779"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33DCD89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3A6CCA5B"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7A9BC7D1"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454D970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4CA8F749"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09238763"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330D889A"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293E5928"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57EF2BD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0D72E9C6" w14:textId="77777777" w:rsidR="00523DD6" w:rsidRDefault="00523DD6" w:rsidP="00523DD6">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0C7F09A7"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00A21268"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64A8BEE0"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38AF7FD4" w14:textId="77777777" w:rsidR="00523DD6" w:rsidRPr="00FE010C"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3FC7AEE6" w14:textId="77777777" w:rsidR="00523DD6" w:rsidRPr="00FE010C" w:rsidRDefault="00523DD6" w:rsidP="00523DD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6A8D80F3" w14:textId="77777777" w:rsidR="00523DD6" w:rsidRPr="00A8320D" w:rsidRDefault="00523DD6" w:rsidP="00523DD6">
      <w:pPr>
        <w:pStyle w:val="ListParagraph"/>
        <w:numPr>
          <w:ilvl w:val="0"/>
          <w:numId w:val="18"/>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5198CA7C" w14:textId="77777777" w:rsidR="00523DD6" w:rsidRPr="00FE010C" w:rsidRDefault="00523DD6" w:rsidP="00523DD6">
      <w:pPr>
        <w:spacing w:before="100" w:beforeAutospacing="1" w:after="100" w:afterAutospacing="1" w:line="240" w:lineRule="auto"/>
        <w:rPr>
          <w:rFonts w:eastAsia="Times New Roman" w:cs="Calibri"/>
          <w:sz w:val="24"/>
          <w:szCs w:val="24"/>
        </w:rPr>
      </w:pPr>
    </w:p>
    <w:p w14:paraId="6D9CD993"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3553D723"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6C712192"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 xml:space="preserve">The University may accept or reject any bids when, in its opinion, such </w:t>
      </w:r>
      <w:proofErr w:type="gramStart"/>
      <w:r w:rsidRPr="00716675">
        <w:rPr>
          <w:rFonts w:eastAsia="Times New Roman" w:cs="Calibri"/>
          <w:sz w:val="24"/>
          <w:szCs w:val="24"/>
        </w:rPr>
        <w:t>action</w:t>
      </w:r>
      <w:proofErr w:type="gramEnd"/>
      <w:r w:rsidRPr="00716675">
        <w:rPr>
          <w:rFonts w:eastAsia="Times New Roman" w:cs="Calibri"/>
          <w:sz w:val="24"/>
          <w:szCs w:val="24"/>
        </w:rPr>
        <w:t xml:space="preserve"> is in the best interests of the University. In such circumstances, the University may re-solicit bids or </w:t>
      </w:r>
      <w:proofErr w:type="gramStart"/>
      <w:r w:rsidRPr="00716675">
        <w:rPr>
          <w:rFonts w:eastAsia="Times New Roman" w:cs="Calibri"/>
          <w:sz w:val="24"/>
          <w:szCs w:val="24"/>
        </w:rPr>
        <w:t>to continue</w:t>
      </w:r>
      <w:proofErr w:type="gramEnd"/>
      <w:r w:rsidRPr="00716675">
        <w:rPr>
          <w:rFonts w:eastAsia="Times New Roman" w:cs="Calibri"/>
          <w:sz w:val="24"/>
          <w:szCs w:val="24"/>
        </w:rPr>
        <w:t xml:space="preserv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4B21BF4C" w14:textId="77777777" w:rsidR="00523DD6"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68B497C1"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w:t>
      </w:r>
      <w:proofErr w:type="gramStart"/>
      <w:r w:rsidRPr="004D3027">
        <w:rPr>
          <w:rFonts w:cstheme="minorHAnsi"/>
          <w:sz w:val="24"/>
          <w:szCs w:val="24"/>
        </w:rPr>
        <w:t>A Purchasing</w:t>
      </w:r>
      <w:proofErr w:type="gramEnd"/>
      <w:r w:rsidRPr="004D3027">
        <w:rPr>
          <w:rFonts w:cstheme="minorHAnsi"/>
          <w:sz w:val="24"/>
          <w:szCs w:val="24"/>
        </w:rPr>
        <w:t xml:space="preserve">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732EBC73"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630072D9"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w:t>
      </w:r>
      <w:proofErr w:type="gramStart"/>
      <w:r w:rsidRPr="00716675">
        <w:rPr>
          <w:rFonts w:eastAsia="Times New Roman" w:cs="Calibri"/>
          <w:sz w:val="24"/>
          <w:szCs w:val="24"/>
        </w:rPr>
        <w:t>public</w:t>
      </w:r>
      <w:proofErr w:type="gramEnd"/>
      <w:r w:rsidRPr="00716675">
        <w:rPr>
          <w:rFonts w:eastAsia="Times New Roman" w:cs="Calibri"/>
          <w:sz w:val="24"/>
          <w:szCs w:val="24"/>
        </w:rPr>
        <w:t xml:space="preserve"> record after the </w:t>
      </w:r>
      <w:r>
        <w:rPr>
          <w:rFonts w:eastAsia="Times New Roman" w:cs="Calibri"/>
          <w:sz w:val="24"/>
          <w:szCs w:val="24"/>
        </w:rPr>
        <w:t xml:space="preserve">issuance of the intent to award. </w:t>
      </w:r>
    </w:p>
    <w:p w14:paraId="2342DE67" w14:textId="77777777" w:rsidR="00523DD6" w:rsidRPr="00D95257"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3"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575ADAA7" w14:textId="77777777" w:rsidR="00523DD6" w:rsidRDefault="00523DD6" w:rsidP="00523DD6">
      <w:pPr>
        <w:spacing w:before="100" w:beforeAutospacing="1" w:after="100" w:afterAutospacing="1" w:line="240" w:lineRule="auto"/>
        <w:rPr>
          <w:rFonts w:eastAsia="Times New Roman" w:cs="Calibri"/>
          <w:b/>
          <w:bCs/>
          <w:sz w:val="24"/>
          <w:szCs w:val="24"/>
        </w:rPr>
      </w:pPr>
    </w:p>
    <w:p w14:paraId="53830C36" w14:textId="77777777" w:rsidR="00523DD6" w:rsidRDefault="00523DD6" w:rsidP="00523DD6">
      <w:pPr>
        <w:spacing w:before="100" w:beforeAutospacing="1" w:after="100" w:afterAutospacing="1" w:line="240" w:lineRule="auto"/>
        <w:rPr>
          <w:rFonts w:eastAsia="Times New Roman" w:cs="Calibri"/>
          <w:b/>
          <w:bCs/>
          <w:sz w:val="24"/>
          <w:szCs w:val="24"/>
        </w:rPr>
      </w:pPr>
    </w:p>
    <w:p w14:paraId="657861C3" w14:textId="77777777" w:rsidR="00523DD6" w:rsidRPr="00716675" w:rsidRDefault="00523DD6" w:rsidP="00523DD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564B5021" w14:textId="77777777" w:rsidR="00523DD6" w:rsidRPr="009074B3" w:rsidRDefault="00523DD6" w:rsidP="00523DD6">
      <w:pPr>
        <w:spacing w:before="100" w:beforeAutospacing="1" w:after="100" w:afterAutospacing="1" w:line="240" w:lineRule="auto"/>
        <w:rPr>
          <w:rFonts w:eastAsia="Times New Roman" w:cs="Calibri"/>
          <w:b/>
          <w:bCs/>
          <w:sz w:val="28"/>
          <w:szCs w:val="24"/>
        </w:rPr>
      </w:pPr>
      <w:r w:rsidRPr="009074B3">
        <w:rPr>
          <w:sz w:val="24"/>
        </w:rPr>
        <w:lastRenderedPageBreak/>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224DD71C"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1F420DD6"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44199B37"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256469F8"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18421288"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39CDB12A" w14:textId="77777777" w:rsidR="00523DD6" w:rsidRPr="00A61F3D" w:rsidRDefault="00523DD6" w:rsidP="00523DD6">
      <w:pPr>
        <w:pStyle w:val="ListParagraph"/>
        <w:numPr>
          <w:ilvl w:val="0"/>
          <w:numId w:val="28"/>
        </w:numPr>
        <w:spacing w:after="160" w:line="259" w:lineRule="auto"/>
        <w:rPr>
          <w:rFonts w:eastAsia="Times New Roman" w:cs="Calibri"/>
          <w:sz w:val="24"/>
        </w:rPr>
      </w:pPr>
      <w:r w:rsidRPr="00A61F3D">
        <w:rPr>
          <w:b/>
          <w:sz w:val="24"/>
          <w:u w:val="single"/>
        </w:rPr>
        <w:t>Delivery</w:t>
      </w:r>
      <w:r w:rsidRPr="00A61F3D">
        <w:rPr>
          <w:sz w:val="24"/>
        </w:rPr>
        <w:t>:</w:t>
      </w:r>
    </w:p>
    <w:p w14:paraId="23127638"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164E13A5"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4C54577D" w14:textId="77777777" w:rsidR="00523DD6" w:rsidRPr="00716675" w:rsidRDefault="00523DD6" w:rsidP="00523DD6">
      <w:pPr>
        <w:pStyle w:val="NoSpacing"/>
        <w:widowControl/>
        <w:numPr>
          <w:ilvl w:val="0"/>
          <w:numId w:val="28"/>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5AAD393D" w14:textId="77777777" w:rsidR="00523DD6" w:rsidRPr="00716675" w:rsidRDefault="00523DD6" w:rsidP="00523DD6">
      <w:pPr>
        <w:pStyle w:val="NoSpacing"/>
        <w:widowControl/>
        <w:numPr>
          <w:ilvl w:val="1"/>
          <w:numId w:val="28"/>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4279C967" w14:textId="77777777" w:rsidR="00523DD6" w:rsidRPr="000D45AE" w:rsidRDefault="00523DD6" w:rsidP="00523DD6">
      <w:pPr>
        <w:pStyle w:val="NoSpacing"/>
        <w:widowControl/>
        <w:numPr>
          <w:ilvl w:val="1"/>
          <w:numId w:val="28"/>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1D1CD3">
        <w:rPr>
          <w:rStyle w:val="Strong"/>
          <w:rFonts w:cstheme="minorHAnsi"/>
          <w:b w:val="0"/>
          <w:bCs w:val="0"/>
          <w:sz w:val="24"/>
          <w:szCs w:val="24"/>
        </w:rPr>
        <w:t>University’s payment will not be considered late unless University pays later than 45 calendar days after receiving Supplier’s invoice.</w:t>
      </w:r>
    </w:p>
    <w:p w14:paraId="55305201"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 xml:space="preserve">The University will promote the use of any established agreement; however, the University does not guarantee that all purchases for the products and/or services available under any award will be made exclusively </w:t>
      </w:r>
      <w:proofErr w:type="gramStart"/>
      <w:r w:rsidRPr="00716675">
        <w:rPr>
          <w:rFonts w:eastAsia="Times New Roman" w:cs="Calibri"/>
          <w:sz w:val="24"/>
          <w:szCs w:val="24"/>
        </w:rPr>
        <w:t>from</w:t>
      </w:r>
      <w:proofErr w:type="gramEnd"/>
      <w:r w:rsidRPr="00716675">
        <w:rPr>
          <w:rFonts w:eastAsia="Times New Roman" w:cs="Calibri"/>
          <w:sz w:val="24"/>
          <w:szCs w:val="24"/>
        </w:rPr>
        <w:t xml:space="preserve"> the supplier. Also, an award does not </w:t>
      </w:r>
      <w:proofErr w:type="gramStart"/>
      <w:r w:rsidRPr="00716675">
        <w:rPr>
          <w:rFonts w:eastAsia="Times New Roman" w:cs="Calibri"/>
          <w:sz w:val="24"/>
          <w:szCs w:val="24"/>
        </w:rPr>
        <w:t>obligate</w:t>
      </w:r>
      <w:proofErr w:type="gramEnd"/>
      <w:r w:rsidRPr="00716675">
        <w:rPr>
          <w:rFonts w:eastAsia="Times New Roman" w:cs="Calibri"/>
          <w:sz w:val="24"/>
          <w:szCs w:val="24"/>
        </w:rPr>
        <w:t xml:space="preserve"> the University to make any purchases from the awarded respondent and the University may elect to award contracts or purchase orders for like products or services to multiple suppliers.</w:t>
      </w:r>
    </w:p>
    <w:p w14:paraId="39C6C52F"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1987673B"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7A8FFD06"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w:t>
      </w:r>
      <w:proofErr w:type="gramStart"/>
      <w:r w:rsidRPr="00716675">
        <w:rPr>
          <w:rFonts w:eastAsia="Times New Roman" w:cs="Calibri"/>
          <w:sz w:val="24"/>
          <w:szCs w:val="24"/>
        </w:rPr>
        <w:t>Supplier</w:t>
      </w:r>
      <w:proofErr w:type="gramEnd"/>
      <w:r w:rsidRPr="00716675">
        <w:rPr>
          <w:rFonts w:eastAsia="Times New Roman" w:cs="Calibri"/>
          <w:sz w:val="24"/>
          <w:szCs w:val="24"/>
        </w:rPr>
        <w:t xml:space="preserve"> shall maintain its records </w:t>
      </w:r>
      <w:r w:rsidRPr="00716675">
        <w:rPr>
          <w:rFonts w:eastAsia="Times New Roman" w:cs="Calibri"/>
          <w:sz w:val="24"/>
          <w:szCs w:val="24"/>
        </w:rPr>
        <w:lastRenderedPageBreak/>
        <w:t xml:space="preserve">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00EAD109"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4B61F181" w14:textId="77777777" w:rsidR="00523DD6"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077AB44A"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09633255"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 xml:space="preserve">Supplier may only sell goods or services listed in the University’s purchase order. If respondent sells items not listed in the University’s purchase order, the University may terminate the purchase order immediately and without </w:t>
      </w:r>
      <w:proofErr w:type="gramStart"/>
      <w:r w:rsidRPr="00716675">
        <w:rPr>
          <w:rFonts w:eastAsia="Times New Roman" w:cs="Calibri"/>
          <w:sz w:val="24"/>
          <w:szCs w:val="24"/>
        </w:rPr>
        <w:t>advanced</w:t>
      </w:r>
      <w:proofErr w:type="gramEnd"/>
      <w:r w:rsidRPr="00716675">
        <w:rPr>
          <w:rFonts w:eastAsia="Times New Roman" w:cs="Calibri"/>
          <w:sz w:val="24"/>
          <w:szCs w:val="24"/>
        </w:rPr>
        <w:t xml:space="preserve"> notice.</w:t>
      </w:r>
    </w:p>
    <w:p w14:paraId="3D8EAA3D"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2525CB51" w14:textId="77777777" w:rsidR="00523DD6" w:rsidRPr="00C273EA"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35F59E25"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2AC0C25E" w14:textId="77777777" w:rsidR="00523DD6" w:rsidRPr="00716675" w:rsidRDefault="00523DD6" w:rsidP="00523DD6">
      <w:pPr>
        <w:numPr>
          <w:ilvl w:val="0"/>
          <w:numId w:val="28"/>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23DD6">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3FED4A38"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0D45176B"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2EA02BE1"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51C01F91" w14:textId="77777777" w:rsidR="00523DD6" w:rsidRPr="00716675" w:rsidRDefault="00523DD6" w:rsidP="00523DD6">
      <w:pPr>
        <w:pStyle w:val="NoSpacing"/>
        <w:widowControl/>
        <w:numPr>
          <w:ilvl w:val="0"/>
          <w:numId w:val="28"/>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5287ECCB"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43940FE6"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lastRenderedPageBreak/>
        <w:t>that if an unenforceable provision is modified or disregarded in accordance with this section, then the rest of the agreement will remain in effect as written; and</w:t>
      </w:r>
    </w:p>
    <w:p w14:paraId="2232B077"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0DA88AC4"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15E04A43"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588DA3A3"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4CCB8000" w14:textId="77777777" w:rsidR="00523DD6" w:rsidRPr="00716675" w:rsidRDefault="00523DD6" w:rsidP="00523DD6">
      <w:pPr>
        <w:pStyle w:val="NoSpacing"/>
        <w:widowControl/>
        <w:numPr>
          <w:ilvl w:val="0"/>
          <w:numId w:val="28"/>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35FA6D65" w14:textId="77777777" w:rsidR="00523DD6" w:rsidRPr="00716675" w:rsidRDefault="00523DD6" w:rsidP="00523DD6">
      <w:pPr>
        <w:pStyle w:val="NoSpacing"/>
        <w:widowControl/>
        <w:numPr>
          <w:ilvl w:val="1"/>
          <w:numId w:val="28"/>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63439D05"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33EBC726"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Only the University’s authorized officials have the authority to bind the University.  </w:t>
      </w:r>
    </w:p>
    <w:p w14:paraId="7743B9B8"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7C38BB88" w14:textId="77777777" w:rsidR="00523DD6" w:rsidRPr="006310E1"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277F3BA1" w14:textId="77777777" w:rsidR="00523DD6" w:rsidRDefault="00523DD6" w:rsidP="00523DD6">
      <w:pPr>
        <w:pStyle w:val="NoSpacing"/>
        <w:widowControl/>
        <w:numPr>
          <w:ilvl w:val="0"/>
          <w:numId w:val="28"/>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571F66A1"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debarred by the U.S. federal government.</w:t>
      </w:r>
    </w:p>
    <w:p w14:paraId="6AB111D7"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suspended by the U.S. federal government.</w:t>
      </w:r>
    </w:p>
    <w:p w14:paraId="26065FC4"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5D94A2F1" w14:textId="77777777" w:rsidR="00523DD6" w:rsidRPr="00DE7298" w:rsidRDefault="00523DD6" w:rsidP="00523DD6">
      <w:pPr>
        <w:pStyle w:val="NoSpacing"/>
        <w:widowControl/>
        <w:numPr>
          <w:ilvl w:val="1"/>
          <w:numId w:val="28"/>
        </w:numPr>
        <w:rPr>
          <w:rFonts w:cstheme="minorHAnsi"/>
          <w:sz w:val="24"/>
          <w:szCs w:val="24"/>
        </w:rPr>
      </w:pPr>
      <w:r w:rsidRPr="00DE7298">
        <w:rPr>
          <w:sz w:val="24"/>
          <w:szCs w:val="24"/>
        </w:rPr>
        <w:t>Supplier must notify University within 2 business days if Supplier is debarred by any organization in the United States</w:t>
      </w:r>
    </w:p>
    <w:p w14:paraId="2A3BCEFE"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5380BF23" w14:textId="77777777" w:rsidR="00523DD6" w:rsidRPr="00716675" w:rsidRDefault="00523DD6" w:rsidP="00523DD6">
      <w:pPr>
        <w:pStyle w:val="NoSpacing"/>
        <w:widowControl/>
        <w:numPr>
          <w:ilvl w:val="0"/>
          <w:numId w:val="28"/>
        </w:numPr>
        <w:rPr>
          <w:sz w:val="24"/>
        </w:rPr>
      </w:pPr>
      <w:r w:rsidRPr="00716675">
        <w:rPr>
          <w:b/>
          <w:sz w:val="24"/>
          <w:u w:val="single"/>
        </w:rPr>
        <w:t>Compliance</w:t>
      </w:r>
      <w:r w:rsidRPr="00716675">
        <w:rPr>
          <w:sz w:val="24"/>
        </w:rPr>
        <w:t xml:space="preserve">: </w:t>
      </w:r>
    </w:p>
    <w:p w14:paraId="0D318BE4" w14:textId="77777777" w:rsidR="00523DD6" w:rsidRPr="00716675" w:rsidRDefault="00523DD6" w:rsidP="00523DD6">
      <w:pPr>
        <w:pStyle w:val="NoSpacing"/>
        <w:widowControl/>
        <w:numPr>
          <w:ilvl w:val="1"/>
          <w:numId w:val="28"/>
        </w:numPr>
        <w:rPr>
          <w:sz w:val="24"/>
        </w:rPr>
      </w:pPr>
      <w:r w:rsidRPr="00716675">
        <w:rPr>
          <w:rFonts w:cstheme="minorHAnsi"/>
          <w:sz w:val="24"/>
          <w:szCs w:val="24"/>
          <w:u w:val="single"/>
        </w:rPr>
        <w:lastRenderedPageBreak/>
        <w:t>Conflicts of Interest</w:t>
      </w:r>
      <w:r w:rsidRPr="00716675">
        <w:rPr>
          <w:sz w:val="24"/>
        </w:rPr>
        <w:t xml:space="preserve">: </w:t>
      </w:r>
    </w:p>
    <w:p w14:paraId="40D06C11"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16CE9189" w14:textId="77777777" w:rsidR="00523DD6" w:rsidRPr="00716675" w:rsidRDefault="00523DD6" w:rsidP="00523DD6">
      <w:pPr>
        <w:pStyle w:val="NoSpacing"/>
        <w:widowControl/>
        <w:numPr>
          <w:ilvl w:val="2"/>
          <w:numId w:val="28"/>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0DB1E194" w14:textId="77777777" w:rsidR="00523DD6" w:rsidRPr="00716675" w:rsidRDefault="00523DD6" w:rsidP="00523DD6">
      <w:pPr>
        <w:pStyle w:val="NoSpacing"/>
        <w:widowControl/>
        <w:numPr>
          <w:ilvl w:val="0"/>
          <w:numId w:val="28"/>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7C27B611" w14:textId="77777777" w:rsid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1A809912"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w:t>
      </w:r>
      <w:proofErr w:type="gramStart"/>
      <w:r w:rsidRPr="00716675">
        <w:rPr>
          <w:rFonts w:cstheme="minorHAnsi"/>
          <w:sz w:val="24"/>
          <w:szCs w:val="24"/>
        </w:rPr>
        <w:t>proposes</w:t>
      </w:r>
      <w:proofErr w:type="gramEnd"/>
      <w:r w:rsidRPr="00716675">
        <w:rPr>
          <w:rFonts w:cstheme="minorHAnsi"/>
          <w:sz w:val="24"/>
          <w:szCs w:val="24"/>
        </w:rPr>
        <w:t xml:space="preserve"> of this agreement, “criminal conduct” means (a) that the person is listed on any state’s sexual offender registry; (b) that person is listed on the Tennessee Abuse Registry, or (c) that the person has been convicted of a felony in any state.  </w:t>
      </w:r>
    </w:p>
    <w:p w14:paraId="527D1AC9"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2479634B" w14:textId="77777777" w:rsidR="00523DD6" w:rsidRP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5FE2F8A7" w14:textId="77777777" w:rsidR="00523DD6" w:rsidRPr="00523DD6" w:rsidRDefault="00523DD6" w:rsidP="00523DD6">
      <w:pPr>
        <w:pStyle w:val="NoSpacing"/>
        <w:widowControl/>
        <w:numPr>
          <w:ilvl w:val="1"/>
          <w:numId w:val="28"/>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23DD6">
        <w:rPr>
          <w:rFonts w:cstheme="minorHAnsi"/>
          <w:b/>
          <w:sz w:val="24"/>
          <w:szCs w:val="24"/>
          <w:u w:val="single"/>
        </w:rPr>
        <w:t>.</w:t>
      </w:r>
    </w:p>
    <w:p w14:paraId="216A18A7" w14:textId="77777777" w:rsidR="00E539E1" w:rsidRPr="00E539E1" w:rsidRDefault="00E539E1" w:rsidP="005D5CE0">
      <w:pPr>
        <w:pStyle w:val="Title"/>
        <w:pBdr>
          <w:bottom w:val="none" w:sz="0" w:space="0" w:color="auto"/>
        </w:pBdr>
        <w:jc w:val="center"/>
      </w:pPr>
    </w:p>
    <w:sectPr w:rsidR="00E539E1" w:rsidRPr="00E539E1" w:rsidSect="00CC52F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ACC91" w14:textId="77777777" w:rsidR="00497157" w:rsidRDefault="00497157" w:rsidP="00CC52FC">
      <w:pPr>
        <w:spacing w:after="0" w:line="240" w:lineRule="auto"/>
      </w:pPr>
      <w:r>
        <w:separator/>
      </w:r>
    </w:p>
  </w:endnote>
  <w:endnote w:type="continuationSeparator" w:id="0">
    <w:p w14:paraId="7F851089" w14:textId="77777777" w:rsidR="00497157" w:rsidRDefault="00497157" w:rsidP="00C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AB467" w14:textId="77777777" w:rsidR="00C00107" w:rsidRDefault="00C0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11" w:author="Shellist, Abbie" w:date="2023-06-12T15:18:00Z"/>
  <w:sdt>
    <w:sdtPr>
      <w:id w:val="93058220"/>
      <w:docPartObj>
        <w:docPartGallery w:val="Page Numbers (Bottom of Page)"/>
        <w:docPartUnique/>
      </w:docPartObj>
    </w:sdtPr>
    <w:sdtEndPr>
      <w:rPr>
        <w:noProof/>
      </w:rPr>
    </w:sdtEndPr>
    <w:sdtContent>
      <w:customXmlInsRangeEnd w:id="11"/>
      <w:p w14:paraId="3398D50F" w14:textId="77777777" w:rsidR="00C00107" w:rsidRDefault="00C00107">
        <w:pPr>
          <w:pStyle w:val="Footer"/>
          <w:jc w:val="center"/>
          <w:rPr>
            <w:ins w:id="12" w:author="Shellist, Abbie" w:date="2023-06-12T15:18:00Z"/>
          </w:rPr>
        </w:pPr>
        <w:ins w:id="13" w:author="Shellist, Abbie" w:date="2023-06-12T15:18:00Z">
          <w:r>
            <w:fldChar w:fldCharType="begin"/>
          </w:r>
          <w:r>
            <w:instrText xml:space="preserve"> PAGE   \* MERGEFORMAT </w:instrText>
          </w:r>
          <w:r>
            <w:fldChar w:fldCharType="separate"/>
          </w:r>
          <w:r>
            <w:rPr>
              <w:noProof/>
            </w:rPr>
            <w:t>2</w:t>
          </w:r>
          <w:r>
            <w:rPr>
              <w:noProof/>
            </w:rPr>
            <w:fldChar w:fldCharType="end"/>
          </w:r>
        </w:ins>
      </w:p>
      <w:customXmlInsRangeStart w:id="14" w:author="Shellist, Abbie" w:date="2023-06-12T15:18:00Z"/>
    </w:sdtContent>
  </w:sdt>
  <w:customXmlInsRangeEnd w:id="14"/>
  <w:p w14:paraId="0932762C" w14:textId="77777777" w:rsidR="00C00107" w:rsidRDefault="00C0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5658E" w14:textId="77777777" w:rsidR="00C00107" w:rsidRDefault="00C0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1CA7E" w14:textId="77777777" w:rsidR="00497157" w:rsidRDefault="00497157" w:rsidP="00CC52FC">
      <w:pPr>
        <w:spacing w:after="0" w:line="240" w:lineRule="auto"/>
      </w:pPr>
      <w:r>
        <w:separator/>
      </w:r>
    </w:p>
  </w:footnote>
  <w:footnote w:type="continuationSeparator" w:id="0">
    <w:p w14:paraId="494E2B64" w14:textId="77777777" w:rsidR="00497157" w:rsidRDefault="00497157" w:rsidP="00CC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B1B1" w14:textId="77777777" w:rsidR="00C00107" w:rsidRDefault="00C0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6AB39" w14:textId="77777777" w:rsidR="005148AB" w:rsidRDefault="005148AB" w:rsidP="00CC52FC">
    <w:pPr>
      <w:pStyle w:val="Header"/>
      <w:tabs>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472FD" w14:textId="77777777" w:rsidR="005148AB" w:rsidRPr="003D6DAF" w:rsidRDefault="003D6DAF" w:rsidP="003D6DAF">
    <w:pPr>
      <w:pStyle w:val="Header"/>
    </w:pPr>
    <w:r>
      <w:rPr>
        <w:noProof/>
      </w:rPr>
      <w:drawing>
        <wp:inline distT="0" distB="0" distL="0" distR="0" wp14:anchorId="1C6C5FA9" wp14:editId="049E8D2C">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1EC8"/>
    <w:multiLevelType w:val="hybridMultilevel"/>
    <w:tmpl w:val="BB8A3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553"/>
    <w:multiLevelType w:val="hybridMultilevel"/>
    <w:tmpl w:val="21F0366A"/>
    <w:lvl w:ilvl="0" w:tplc="437090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B2E59"/>
    <w:multiLevelType w:val="hybridMultilevel"/>
    <w:tmpl w:val="7944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83E23"/>
    <w:multiLevelType w:val="hybridMultilevel"/>
    <w:tmpl w:val="FAA05D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5B38CF"/>
    <w:multiLevelType w:val="hybridMultilevel"/>
    <w:tmpl w:val="6B90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75583"/>
    <w:multiLevelType w:val="hybridMultilevel"/>
    <w:tmpl w:val="78FA8E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B4154"/>
    <w:multiLevelType w:val="hybridMultilevel"/>
    <w:tmpl w:val="C5B098C8"/>
    <w:lvl w:ilvl="0" w:tplc="4370906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E12BF0"/>
    <w:multiLevelType w:val="hybridMultilevel"/>
    <w:tmpl w:val="5F2A48E4"/>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24783"/>
    <w:multiLevelType w:val="hybridMultilevel"/>
    <w:tmpl w:val="2D0228C6"/>
    <w:lvl w:ilvl="0" w:tplc="43709060">
      <w:start w:val="1"/>
      <w:numFmt w:val="decimal"/>
      <w:lvlText w:val="%1."/>
      <w:lvlJc w:val="left"/>
      <w:pPr>
        <w:ind w:left="360" w:hanging="360"/>
      </w:pPr>
      <w:rPr>
        <w:b w:val="0"/>
      </w:rPr>
    </w:lvl>
    <w:lvl w:ilvl="1" w:tplc="94D8B462">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55FAA"/>
    <w:multiLevelType w:val="hybridMultilevel"/>
    <w:tmpl w:val="F6DCFEA2"/>
    <w:lvl w:ilvl="0" w:tplc="09C2D5E2">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00184"/>
    <w:multiLevelType w:val="hybridMultilevel"/>
    <w:tmpl w:val="7ABC1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03AB8"/>
    <w:multiLevelType w:val="hybridMultilevel"/>
    <w:tmpl w:val="A45CF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B6FF8"/>
    <w:multiLevelType w:val="hybridMultilevel"/>
    <w:tmpl w:val="BD18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E57F1"/>
    <w:multiLevelType w:val="hybridMultilevel"/>
    <w:tmpl w:val="E24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595D"/>
    <w:multiLevelType w:val="hybridMultilevel"/>
    <w:tmpl w:val="121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35507"/>
    <w:multiLevelType w:val="hybridMultilevel"/>
    <w:tmpl w:val="7FE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35397">
    <w:abstractNumId w:val="2"/>
  </w:num>
  <w:num w:numId="2" w16cid:durableId="326590202">
    <w:abstractNumId w:val="25"/>
  </w:num>
  <w:num w:numId="3" w16cid:durableId="1378385838">
    <w:abstractNumId w:val="21"/>
  </w:num>
  <w:num w:numId="4" w16cid:durableId="1736581851">
    <w:abstractNumId w:val="23"/>
  </w:num>
  <w:num w:numId="5" w16cid:durableId="1224439874">
    <w:abstractNumId w:val="14"/>
  </w:num>
  <w:num w:numId="6" w16cid:durableId="1815944743">
    <w:abstractNumId w:val="35"/>
  </w:num>
  <w:num w:numId="7" w16cid:durableId="1666661115">
    <w:abstractNumId w:val="12"/>
  </w:num>
  <w:num w:numId="8" w16cid:durableId="1316714525">
    <w:abstractNumId w:val="36"/>
  </w:num>
  <w:num w:numId="9" w16cid:durableId="1158883224">
    <w:abstractNumId w:val="18"/>
  </w:num>
  <w:num w:numId="10" w16cid:durableId="95835482">
    <w:abstractNumId w:val="22"/>
  </w:num>
  <w:num w:numId="11" w16cid:durableId="1867863683">
    <w:abstractNumId w:val="37"/>
  </w:num>
  <w:num w:numId="12" w16cid:durableId="74060556">
    <w:abstractNumId w:val="0"/>
  </w:num>
  <w:num w:numId="13" w16cid:durableId="121462619">
    <w:abstractNumId w:val="5"/>
  </w:num>
  <w:num w:numId="14" w16cid:durableId="1590236471">
    <w:abstractNumId w:val="39"/>
  </w:num>
  <w:num w:numId="15" w16cid:durableId="1364285491">
    <w:abstractNumId w:val="30"/>
  </w:num>
  <w:num w:numId="16" w16cid:durableId="1030374655">
    <w:abstractNumId w:val="19"/>
  </w:num>
  <w:num w:numId="17" w16cid:durableId="829832570">
    <w:abstractNumId w:val="26"/>
  </w:num>
  <w:num w:numId="18" w16cid:durableId="3898147">
    <w:abstractNumId w:val="34"/>
  </w:num>
  <w:num w:numId="19" w16cid:durableId="876821533">
    <w:abstractNumId w:val="24"/>
  </w:num>
  <w:num w:numId="20" w16cid:durableId="1840654967">
    <w:abstractNumId w:val="1"/>
  </w:num>
  <w:num w:numId="21" w16cid:durableId="1092975510">
    <w:abstractNumId w:val="38"/>
  </w:num>
  <w:num w:numId="22" w16cid:durableId="930234432">
    <w:abstractNumId w:val="33"/>
  </w:num>
  <w:num w:numId="23" w16cid:durableId="308486818">
    <w:abstractNumId w:val="11"/>
  </w:num>
  <w:num w:numId="24" w16cid:durableId="39090812">
    <w:abstractNumId w:val="17"/>
  </w:num>
  <w:num w:numId="25" w16cid:durableId="1099256449">
    <w:abstractNumId w:val="31"/>
  </w:num>
  <w:num w:numId="26" w16cid:durableId="1534735252">
    <w:abstractNumId w:val="20"/>
  </w:num>
  <w:num w:numId="27" w16cid:durableId="1229681595">
    <w:abstractNumId w:val="4"/>
  </w:num>
  <w:num w:numId="28" w16cid:durableId="1994404342">
    <w:abstractNumId w:val="6"/>
  </w:num>
  <w:num w:numId="29" w16cid:durableId="1450467496">
    <w:abstractNumId w:val="16"/>
  </w:num>
  <w:num w:numId="30" w16cid:durableId="738288122">
    <w:abstractNumId w:val="29"/>
  </w:num>
  <w:num w:numId="31" w16cid:durableId="192887425">
    <w:abstractNumId w:val="9"/>
  </w:num>
  <w:num w:numId="32" w16cid:durableId="60754725">
    <w:abstractNumId w:val="28"/>
  </w:num>
  <w:num w:numId="33" w16cid:durableId="2056658138">
    <w:abstractNumId w:val="13"/>
  </w:num>
  <w:num w:numId="34" w16cid:durableId="1415712219">
    <w:abstractNumId w:val="8"/>
  </w:num>
  <w:num w:numId="35" w16cid:durableId="358118111">
    <w:abstractNumId w:val="15"/>
  </w:num>
  <w:num w:numId="36" w16cid:durableId="770245089">
    <w:abstractNumId w:val="3"/>
  </w:num>
  <w:num w:numId="37" w16cid:durableId="200629956">
    <w:abstractNumId w:val="10"/>
  </w:num>
  <w:num w:numId="38" w16cid:durableId="852258903">
    <w:abstractNumId w:val="27"/>
  </w:num>
  <w:num w:numId="39" w16cid:durableId="577978066">
    <w:abstractNumId w:val="32"/>
  </w:num>
  <w:num w:numId="40" w16cid:durableId="995064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0716713">
    <w:abstractNumId w:val="7"/>
  </w:num>
  <w:num w:numId="42" w16cid:durableId="154698956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6890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hellist, Abbie">
    <w15:presenceInfo w15:providerId="AD" w15:userId="S::ashellis@utk.edu::7e0d74b4-1f1c-4dc2-b43e-adcd37e89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57"/>
    <w:rsid w:val="00013F36"/>
    <w:rsid w:val="00033E74"/>
    <w:rsid w:val="0005294E"/>
    <w:rsid w:val="00053697"/>
    <w:rsid w:val="000539BE"/>
    <w:rsid w:val="000626DD"/>
    <w:rsid w:val="00067659"/>
    <w:rsid w:val="000730FC"/>
    <w:rsid w:val="00073984"/>
    <w:rsid w:val="00073EE9"/>
    <w:rsid w:val="00083A6D"/>
    <w:rsid w:val="000B6BDA"/>
    <w:rsid w:val="000D3006"/>
    <w:rsid w:val="000F3086"/>
    <w:rsid w:val="00121134"/>
    <w:rsid w:val="00122704"/>
    <w:rsid w:val="001356EC"/>
    <w:rsid w:val="00136550"/>
    <w:rsid w:val="001542B4"/>
    <w:rsid w:val="00155848"/>
    <w:rsid w:val="001576CD"/>
    <w:rsid w:val="00160A44"/>
    <w:rsid w:val="001877C1"/>
    <w:rsid w:val="001B08F1"/>
    <w:rsid w:val="001B7CD2"/>
    <w:rsid w:val="001C3442"/>
    <w:rsid w:val="001C5006"/>
    <w:rsid w:val="001D1CD3"/>
    <w:rsid w:val="002128CF"/>
    <w:rsid w:val="002230E3"/>
    <w:rsid w:val="00224E03"/>
    <w:rsid w:val="00227550"/>
    <w:rsid w:val="002344A0"/>
    <w:rsid w:val="00240793"/>
    <w:rsid w:val="002426F2"/>
    <w:rsid w:val="00242E81"/>
    <w:rsid w:val="00244791"/>
    <w:rsid w:val="00257756"/>
    <w:rsid w:val="002600EA"/>
    <w:rsid w:val="002776A5"/>
    <w:rsid w:val="002A763F"/>
    <w:rsid w:val="002B1643"/>
    <w:rsid w:val="002C4DE0"/>
    <w:rsid w:val="002D4891"/>
    <w:rsid w:val="002E1DDB"/>
    <w:rsid w:val="00303C5A"/>
    <w:rsid w:val="00304FF4"/>
    <w:rsid w:val="00313336"/>
    <w:rsid w:val="00317277"/>
    <w:rsid w:val="00323289"/>
    <w:rsid w:val="003407AD"/>
    <w:rsid w:val="003440C8"/>
    <w:rsid w:val="003502DF"/>
    <w:rsid w:val="003614B7"/>
    <w:rsid w:val="0037263F"/>
    <w:rsid w:val="0038065A"/>
    <w:rsid w:val="003820DA"/>
    <w:rsid w:val="003B6041"/>
    <w:rsid w:val="003C230A"/>
    <w:rsid w:val="003D6DAF"/>
    <w:rsid w:val="003E5054"/>
    <w:rsid w:val="003F35AF"/>
    <w:rsid w:val="00407DD4"/>
    <w:rsid w:val="00411291"/>
    <w:rsid w:val="00431FD6"/>
    <w:rsid w:val="00436874"/>
    <w:rsid w:val="00443B6E"/>
    <w:rsid w:val="00455F67"/>
    <w:rsid w:val="00460099"/>
    <w:rsid w:val="0048048C"/>
    <w:rsid w:val="00495C60"/>
    <w:rsid w:val="00497157"/>
    <w:rsid w:val="00497948"/>
    <w:rsid w:val="004C03DC"/>
    <w:rsid w:val="004D2FFC"/>
    <w:rsid w:val="004D7E08"/>
    <w:rsid w:val="004E36D1"/>
    <w:rsid w:val="004F59F6"/>
    <w:rsid w:val="00502980"/>
    <w:rsid w:val="00503776"/>
    <w:rsid w:val="00504B91"/>
    <w:rsid w:val="0050720A"/>
    <w:rsid w:val="005148AB"/>
    <w:rsid w:val="00516870"/>
    <w:rsid w:val="00521CE6"/>
    <w:rsid w:val="00523517"/>
    <w:rsid w:val="00523C50"/>
    <w:rsid w:val="00523DD6"/>
    <w:rsid w:val="005351E2"/>
    <w:rsid w:val="00543590"/>
    <w:rsid w:val="0055413D"/>
    <w:rsid w:val="005648C3"/>
    <w:rsid w:val="00576B7D"/>
    <w:rsid w:val="0059049E"/>
    <w:rsid w:val="005B5EEF"/>
    <w:rsid w:val="005C5729"/>
    <w:rsid w:val="005D5CE0"/>
    <w:rsid w:val="005E6CDA"/>
    <w:rsid w:val="006500C2"/>
    <w:rsid w:val="00651515"/>
    <w:rsid w:val="006522DC"/>
    <w:rsid w:val="00672389"/>
    <w:rsid w:val="00675E91"/>
    <w:rsid w:val="006C166F"/>
    <w:rsid w:val="006C274F"/>
    <w:rsid w:val="006F1294"/>
    <w:rsid w:val="00712E03"/>
    <w:rsid w:val="007223FC"/>
    <w:rsid w:val="0072331B"/>
    <w:rsid w:val="00726509"/>
    <w:rsid w:val="00740467"/>
    <w:rsid w:val="00743F53"/>
    <w:rsid w:val="0075151E"/>
    <w:rsid w:val="007719AD"/>
    <w:rsid w:val="00782B7B"/>
    <w:rsid w:val="00785FAE"/>
    <w:rsid w:val="00791F20"/>
    <w:rsid w:val="007946ED"/>
    <w:rsid w:val="007A0B61"/>
    <w:rsid w:val="007B2512"/>
    <w:rsid w:val="007B3CBB"/>
    <w:rsid w:val="007B530D"/>
    <w:rsid w:val="007C1374"/>
    <w:rsid w:val="007C369E"/>
    <w:rsid w:val="007E2680"/>
    <w:rsid w:val="007F32CC"/>
    <w:rsid w:val="00822573"/>
    <w:rsid w:val="00846E5F"/>
    <w:rsid w:val="00864104"/>
    <w:rsid w:val="00864A1B"/>
    <w:rsid w:val="008653E0"/>
    <w:rsid w:val="008808E3"/>
    <w:rsid w:val="00897D34"/>
    <w:rsid w:val="008A3CAE"/>
    <w:rsid w:val="008A3DE8"/>
    <w:rsid w:val="008B0401"/>
    <w:rsid w:val="008B4C80"/>
    <w:rsid w:val="008C267B"/>
    <w:rsid w:val="008D2BFD"/>
    <w:rsid w:val="008D5BD0"/>
    <w:rsid w:val="008E4F38"/>
    <w:rsid w:val="008E51D0"/>
    <w:rsid w:val="00903F0F"/>
    <w:rsid w:val="00904945"/>
    <w:rsid w:val="009154A1"/>
    <w:rsid w:val="00917D60"/>
    <w:rsid w:val="00923A8A"/>
    <w:rsid w:val="00954EDB"/>
    <w:rsid w:val="00956FA6"/>
    <w:rsid w:val="00960460"/>
    <w:rsid w:val="009609EA"/>
    <w:rsid w:val="009759B9"/>
    <w:rsid w:val="00975E32"/>
    <w:rsid w:val="009779D6"/>
    <w:rsid w:val="0098496B"/>
    <w:rsid w:val="009A1E98"/>
    <w:rsid w:val="009B7AC0"/>
    <w:rsid w:val="009C1FEE"/>
    <w:rsid w:val="009D4C74"/>
    <w:rsid w:val="009E7B3E"/>
    <w:rsid w:val="00A04C7A"/>
    <w:rsid w:val="00A15BDC"/>
    <w:rsid w:val="00A365B1"/>
    <w:rsid w:val="00A56340"/>
    <w:rsid w:val="00A6282A"/>
    <w:rsid w:val="00A65455"/>
    <w:rsid w:val="00A81FE3"/>
    <w:rsid w:val="00AB7661"/>
    <w:rsid w:val="00AD39B8"/>
    <w:rsid w:val="00AE7454"/>
    <w:rsid w:val="00AF568A"/>
    <w:rsid w:val="00B27E91"/>
    <w:rsid w:val="00B404EF"/>
    <w:rsid w:val="00B42569"/>
    <w:rsid w:val="00B4360A"/>
    <w:rsid w:val="00B51293"/>
    <w:rsid w:val="00B5142C"/>
    <w:rsid w:val="00B60795"/>
    <w:rsid w:val="00B71C3E"/>
    <w:rsid w:val="00B86655"/>
    <w:rsid w:val="00BB47F4"/>
    <w:rsid w:val="00BB5F0B"/>
    <w:rsid w:val="00BF4307"/>
    <w:rsid w:val="00C00107"/>
    <w:rsid w:val="00C03EF8"/>
    <w:rsid w:val="00C04E25"/>
    <w:rsid w:val="00C1573F"/>
    <w:rsid w:val="00C361BF"/>
    <w:rsid w:val="00C36978"/>
    <w:rsid w:val="00C40A8C"/>
    <w:rsid w:val="00C420E7"/>
    <w:rsid w:val="00C63CAE"/>
    <w:rsid w:val="00C71F2E"/>
    <w:rsid w:val="00C76346"/>
    <w:rsid w:val="00C76CF9"/>
    <w:rsid w:val="00CA2832"/>
    <w:rsid w:val="00CB56DF"/>
    <w:rsid w:val="00CC0B71"/>
    <w:rsid w:val="00CC52FC"/>
    <w:rsid w:val="00CD6E64"/>
    <w:rsid w:val="00CF5FA6"/>
    <w:rsid w:val="00CF69B7"/>
    <w:rsid w:val="00D0238D"/>
    <w:rsid w:val="00D32585"/>
    <w:rsid w:val="00D336EC"/>
    <w:rsid w:val="00D34A7D"/>
    <w:rsid w:val="00D4045D"/>
    <w:rsid w:val="00D46D78"/>
    <w:rsid w:val="00D56956"/>
    <w:rsid w:val="00D5778A"/>
    <w:rsid w:val="00D97B92"/>
    <w:rsid w:val="00DB0504"/>
    <w:rsid w:val="00DC6142"/>
    <w:rsid w:val="00DD5C46"/>
    <w:rsid w:val="00DF70B0"/>
    <w:rsid w:val="00E00824"/>
    <w:rsid w:val="00E00C4B"/>
    <w:rsid w:val="00E2108E"/>
    <w:rsid w:val="00E21453"/>
    <w:rsid w:val="00E238F7"/>
    <w:rsid w:val="00E31417"/>
    <w:rsid w:val="00E4073A"/>
    <w:rsid w:val="00E41FB3"/>
    <w:rsid w:val="00E539E1"/>
    <w:rsid w:val="00E572F2"/>
    <w:rsid w:val="00E85997"/>
    <w:rsid w:val="00E90DB3"/>
    <w:rsid w:val="00E9222E"/>
    <w:rsid w:val="00EC7F43"/>
    <w:rsid w:val="00EE0DDF"/>
    <w:rsid w:val="00EE3A33"/>
    <w:rsid w:val="00F06E34"/>
    <w:rsid w:val="00F11A4C"/>
    <w:rsid w:val="00F26EE3"/>
    <w:rsid w:val="00F35419"/>
    <w:rsid w:val="00F45E3A"/>
    <w:rsid w:val="00F62940"/>
    <w:rsid w:val="00FA20DB"/>
    <w:rsid w:val="00FD0FAE"/>
    <w:rsid w:val="00FD1D91"/>
    <w:rsid w:val="00FD1FFA"/>
    <w:rsid w:val="00FD2ED1"/>
    <w:rsid w:val="00FD771F"/>
    <w:rsid w:val="00FE4E2D"/>
    <w:rsid w:val="00FF30D9"/>
    <w:rsid w:val="00FF467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A327"/>
  <w15:chartTrackingRefBased/>
  <w15:docId w15:val="{229381E7-28DD-4757-84B2-B76662E3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F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uiPriority w:val="34"/>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55413D"/>
  </w:style>
  <w:style w:type="character" w:styleId="FollowedHyperlink">
    <w:name w:val="FollowedHyperlink"/>
    <w:basedOn w:val="DefaultParagraphFont"/>
    <w:uiPriority w:val="99"/>
    <w:semiHidden/>
    <w:unhideWhenUsed/>
    <w:rsid w:val="00C36978"/>
    <w:rPr>
      <w:color w:val="954F72" w:themeColor="followedHyperlink"/>
      <w:u w:val="single"/>
    </w:rPr>
  </w:style>
  <w:style w:type="character" w:customStyle="1" w:styleId="UnresolvedMention1">
    <w:name w:val="Unresolved Mention1"/>
    <w:basedOn w:val="DefaultParagraphFont"/>
    <w:uiPriority w:val="99"/>
    <w:semiHidden/>
    <w:unhideWhenUsed/>
    <w:rsid w:val="00521CE6"/>
    <w:rPr>
      <w:color w:val="605E5C"/>
      <w:shd w:val="clear" w:color="auto" w:fill="E1DFDD"/>
    </w:rPr>
  </w:style>
  <w:style w:type="paragraph" w:styleId="Revision">
    <w:name w:val="Revision"/>
    <w:hidden/>
    <w:uiPriority w:val="99"/>
    <w:semiHidden/>
    <w:rsid w:val="00C00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601090">
      <w:bodyDiv w:val="1"/>
      <w:marLeft w:val="0"/>
      <w:marRight w:val="0"/>
      <w:marTop w:val="0"/>
      <w:marBottom w:val="0"/>
      <w:divBdr>
        <w:top w:val="none" w:sz="0" w:space="0" w:color="auto"/>
        <w:left w:val="none" w:sz="0" w:space="0" w:color="auto"/>
        <w:bottom w:val="none" w:sz="0" w:space="0" w:color="auto"/>
        <w:right w:val="none" w:sz="0" w:space="0" w:color="auto"/>
      </w:divBdr>
    </w:div>
    <w:div w:id="1618682352">
      <w:bodyDiv w:val="1"/>
      <w:marLeft w:val="0"/>
      <w:marRight w:val="0"/>
      <w:marTop w:val="0"/>
      <w:marBottom w:val="0"/>
      <w:divBdr>
        <w:top w:val="none" w:sz="0" w:space="0" w:color="auto"/>
        <w:left w:val="none" w:sz="0" w:space="0" w:color="auto"/>
        <w:bottom w:val="none" w:sz="0" w:space="0" w:color="auto"/>
        <w:right w:val="none" w:sz="0" w:space="0" w:color="auto"/>
      </w:divBdr>
    </w:div>
    <w:div w:id="1652976607">
      <w:bodyDiv w:val="1"/>
      <w:marLeft w:val="0"/>
      <w:marRight w:val="0"/>
      <w:marTop w:val="0"/>
      <w:marBottom w:val="0"/>
      <w:divBdr>
        <w:top w:val="none" w:sz="0" w:space="0" w:color="auto"/>
        <w:left w:val="none" w:sz="0" w:space="0" w:color="auto"/>
        <w:bottom w:val="none" w:sz="0" w:space="0" w:color="auto"/>
        <w:right w:val="none" w:sz="0" w:space="0" w:color="auto"/>
      </w:divBdr>
    </w:div>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tennessee.edu/fiscal_policy/fi0405/"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nfo@esmsolutio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generalservices/procurement/central-procurement-office--cpo-/governor-s-office-of-diversity-business-enterprise--godbe--/godbe-certification-overview.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urt2\OneDrive%20-%20University%20of%20Tennessee\Documents\RFPs\RFP_Template_4.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6" ma:contentTypeDescription="Create a new document." ma:contentTypeScope="" ma:versionID="a1eeb2d99c056d1b96fdafc1c83db46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77066481e5734a6da91b1ea9f2720ecb"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MediaLengthInSeconds xmlns="8b866988-04d0-45b8-bfca-627f938eaee6" xsi:nil="true"/>
    <SharedWithUsers xmlns="348fd8ff-9676-4c72-8b3a-4432c3064249">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D68C1-FE62-4443-A756-6DFD0671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F9BBE-46CC-42EC-BD20-B9179567DD81}">
  <ds:schemaRefs>
    <ds:schemaRef ds:uri="http://schemas.openxmlformats.org/officeDocument/2006/bibliography"/>
  </ds:schemaRefs>
</ds:datastoreItem>
</file>

<file path=customXml/itemProps3.xml><?xml version="1.0" encoding="utf-8"?>
<ds:datastoreItem xmlns:ds="http://schemas.openxmlformats.org/officeDocument/2006/customXml" ds:itemID="{4289F3B4-F62F-4D00-B874-E20A74225EC6}">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4.xml><?xml version="1.0" encoding="utf-8"?>
<ds:datastoreItem xmlns:ds="http://schemas.openxmlformats.org/officeDocument/2006/customXml" ds:itemID="{890F5AD3-D26B-46CE-9C37-5E056170E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RFP_Template_4.34</Template>
  <TotalTime>233</TotalTime>
  <Pages>21</Pages>
  <Words>6366</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Logan</dc:creator>
  <cp:keywords/>
  <dc:description/>
  <cp:lastModifiedBy>Hurt, Logan</cp:lastModifiedBy>
  <cp:revision>7</cp:revision>
  <dcterms:created xsi:type="dcterms:W3CDTF">2024-04-08T14:36:00Z</dcterms:created>
  <dcterms:modified xsi:type="dcterms:W3CDTF">2024-04-09T13:48:00Z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295200</vt:r8>
  </property>
  <property fmtid="{D5CDD505-2E9C-101B-9397-08002B2CF9AE}" pid="4" name="MediaServiceImageTags">
    <vt:lpwstr/>
  </property>
</Properties>
</file>