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0D13"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275D9674"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4C61A00E" w14:textId="77777777" w:rsidR="00B12CF9" w:rsidRPr="00EF46A2" w:rsidRDefault="00B12CF9" w:rsidP="00B12CF9">
      <w:pPr>
        <w:rPr>
          <w:rFonts w:asciiTheme="minorHAnsi" w:eastAsia="Times New Roman" w:hAnsiTheme="minorHAnsi" w:cs="Arial"/>
          <w:b/>
          <w:sz w:val="36"/>
          <w:szCs w:val="44"/>
        </w:rPr>
      </w:pPr>
    </w:p>
    <w:p w14:paraId="5846109A" w14:textId="77777777" w:rsidR="00B12CF9" w:rsidRPr="00EF46A2" w:rsidRDefault="00B12CF9" w:rsidP="00B12CF9">
      <w:pPr>
        <w:jc w:val="center"/>
        <w:rPr>
          <w:rFonts w:asciiTheme="minorHAnsi" w:eastAsia="Times New Roman" w:hAnsiTheme="minorHAnsi" w:cs="Arial"/>
          <w:b/>
          <w:sz w:val="36"/>
          <w:szCs w:val="44"/>
        </w:rPr>
      </w:pPr>
    </w:p>
    <w:p w14:paraId="12F7C3C8"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21CD08C0" w14:textId="77777777" w:rsidTr="005C0715">
        <w:tc>
          <w:tcPr>
            <w:tcW w:w="3325" w:type="dxa"/>
            <w:shd w:val="clear" w:color="auto" w:fill="F2F2F2" w:themeFill="background1" w:themeFillShade="F2"/>
          </w:tcPr>
          <w:p w14:paraId="461E8F58"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1D6E0BF2" w14:textId="4AA33A17" w:rsidR="00B12CF9" w:rsidRPr="008E5C37" w:rsidRDefault="00712784" w:rsidP="005C0715">
            <w:pPr>
              <w:rPr>
                <w:rFonts w:asciiTheme="minorHAnsi" w:eastAsia="Times New Roman" w:hAnsiTheme="minorHAnsi" w:cs="Arial"/>
                <w:sz w:val="28"/>
                <w:szCs w:val="44"/>
              </w:rPr>
            </w:pPr>
            <w:r w:rsidRPr="00712784">
              <w:rPr>
                <w:rFonts w:asciiTheme="minorHAnsi" w:eastAsia="Times New Roman" w:hAnsiTheme="minorHAnsi" w:cs="Arial"/>
                <w:sz w:val="28"/>
                <w:szCs w:val="44"/>
              </w:rPr>
              <w:t>RFQ- Clay Slab Roller-Undergraduate Ceramics Studio for School of Art</w:t>
            </w:r>
          </w:p>
        </w:tc>
      </w:tr>
      <w:tr w:rsidR="00B12CF9" w14:paraId="0C20ED3C" w14:textId="77777777" w:rsidTr="005C0715">
        <w:tc>
          <w:tcPr>
            <w:tcW w:w="3325" w:type="dxa"/>
            <w:shd w:val="clear" w:color="auto" w:fill="F2F2F2" w:themeFill="background1" w:themeFillShade="F2"/>
          </w:tcPr>
          <w:p w14:paraId="51D56C50"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03A92C9B" w14:textId="692E4B48" w:rsidR="00B12CF9" w:rsidRPr="008E5C37" w:rsidRDefault="00766A49" w:rsidP="005C0715">
            <w:pPr>
              <w:rPr>
                <w:rFonts w:asciiTheme="minorHAnsi" w:eastAsia="Times New Roman" w:hAnsiTheme="minorHAnsi" w:cs="Arial"/>
                <w:sz w:val="28"/>
                <w:szCs w:val="44"/>
              </w:rPr>
            </w:pPr>
            <w:r w:rsidRPr="00766A49">
              <w:rPr>
                <w:rFonts w:asciiTheme="minorHAnsi" w:eastAsia="Times New Roman" w:hAnsiTheme="minorHAnsi" w:cs="Arial"/>
                <w:sz w:val="28"/>
                <w:szCs w:val="44"/>
              </w:rPr>
              <w:t>3938115-Sartin</w:t>
            </w:r>
          </w:p>
        </w:tc>
      </w:tr>
      <w:tr w:rsidR="00B12CF9" w14:paraId="7DD83DDA" w14:textId="77777777" w:rsidTr="005C0715">
        <w:tc>
          <w:tcPr>
            <w:tcW w:w="3325" w:type="dxa"/>
            <w:shd w:val="clear" w:color="auto" w:fill="F2F2F2" w:themeFill="background1" w:themeFillShade="F2"/>
          </w:tcPr>
          <w:p w14:paraId="6639CFBE"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52E387A9" w14:textId="7603E8FB" w:rsidR="00B12CF9" w:rsidRPr="008E5C37" w:rsidRDefault="00D42183" w:rsidP="005C0715">
            <w:pPr>
              <w:rPr>
                <w:rFonts w:asciiTheme="minorHAnsi" w:eastAsia="Times New Roman" w:hAnsiTheme="minorHAnsi" w:cs="Arial"/>
                <w:sz w:val="28"/>
                <w:szCs w:val="44"/>
              </w:rPr>
            </w:pPr>
            <w:r>
              <w:rPr>
                <w:rFonts w:asciiTheme="minorHAnsi" w:eastAsia="Times New Roman" w:hAnsiTheme="minorHAnsi" w:cs="Arial"/>
                <w:sz w:val="28"/>
                <w:szCs w:val="44"/>
              </w:rPr>
              <w:t>4/19/2024</w:t>
            </w:r>
          </w:p>
        </w:tc>
      </w:tr>
      <w:tr w:rsidR="00B12CF9" w14:paraId="582793ED" w14:textId="77777777" w:rsidTr="005C0715">
        <w:tc>
          <w:tcPr>
            <w:tcW w:w="3325" w:type="dxa"/>
            <w:shd w:val="clear" w:color="auto" w:fill="F2F2F2" w:themeFill="background1" w:themeFillShade="F2"/>
          </w:tcPr>
          <w:p w14:paraId="6BC9BDC4"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358205DC" w14:textId="3A4B82CE" w:rsidR="00B12CF9" w:rsidRPr="008E5C37" w:rsidRDefault="00D42183" w:rsidP="005C0715">
            <w:pPr>
              <w:rPr>
                <w:rFonts w:asciiTheme="minorHAnsi" w:eastAsia="Times New Roman" w:hAnsiTheme="minorHAnsi" w:cs="Arial"/>
                <w:sz w:val="28"/>
                <w:szCs w:val="44"/>
              </w:rPr>
            </w:pPr>
            <w:r w:rsidRPr="00D42183">
              <w:rPr>
                <w:rFonts w:asciiTheme="minorHAnsi" w:eastAsia="Times New Roman" w:hAnsiTheme="minorHAnsi" w:cs="Arial"/>
                <w:sz w:val="28"/>
                <w:szCs w:val="44"/>
              </w:rPr>
              <w:t>5/2/2024 at 2:00PM EST</w:t>
            </w:r>
          </w:p>
        </w:tc>
      </w:tr>
    </w:tbl>
    <w:p w14:paraId="0162BE1F"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442468A1"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3BBEE445" w14:textId="77777777" w:rsidTr="005C0715">
        <w:tc>
          <w:tcPr>
            <w:tcW w:w="3325" w:type="dxa"/>
            <w:shd w:val="clear" w:color="auto" w:fill="F2F2F2" w:themeFill="background1" w:themeFillShade="F2"/>
          </w:tcPr>
          <w:p w14:paraId="43CEB943"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6CA61D4C" w14:textId="77777777" w:rsidR="00B12CF9" w:rsidRPr="008E5C37" w:rsidRDefault="00B12CF9" w:rsidP="005C0715">
            <w:pPr>
              <w:rPr>
                <w:rFonts w:asciiTheme="minorHAnsi" w:eastAsia="Times New Roman" w:hAnsiTheme="minorHAnsi" w:cs="Arial"/>
                <w:sz w:val="36"/>
                <w:szCs w:val="44"/>
              </w:rPr>
            </w:pPr>
          </w:p>
        </w:tc>
      </w:tr>
      <w:tr w:rsidR="00B12CF9" w14:paraId="0FA50E71" w14:textId="77777777" w:rsidTr="005C0715">
        <w:tc>
          <w:tcPr>
            <w:tcW w:w="3325" w:type="dxa"/>
            <w:shd w:val="clear" w:color="auto" w:fill="F2F2F2" w:themeFill="background1" w:themeFillShade="F2"/>
          </w:tcPr>
          <w:p w14:paraId="2548080E"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5769C485" w14:textId="77777777" w:rsidR="00B12CF9" w:rsidRPr="008E5C37" w:rsidRDefault="00B12CF9" w:rsidP="005C0715">
            <w:pPr>
              <w:rPr>
                <w:rFonts w:asciiTheme="minorHAnsi" w:eastAsia="Times New Roman" w:hAnsiTheme="minorHAnsi" w:cs="Arial"/>
                <w:sz w:val="36"/>
                <w:szCs w:val="44"/>
              </w:rPr>
            </w:pPr>
          </w:p>
        </w:tc>
      </w:tr>
      <w:tr w:rsidR="00B12CF9" w14:paraId="6319D9DB" w14:textId="77777777" w:rsidTr="005C0715">
        <w:tc>
          <w:tcPr>
            <w:tcW w:w="3325" w:type="dxa"/>
            <w:shd w:val="clear" w:color="auto" w:fill="F2F2F2" w:themeFill="background1" w:themeFillShade="F2"/>
          </w:tcPr>
          <w:p w14:paraId="4A27BCA6"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717CFD99" w14:textId="77777777" w:rsidR="00B12CF9" w:rsidRPr="008E5C37" w:rsidRDefault="00B12CF9" w:rsidP="005C0715">
            <w:pPr>
              <w:rPr>
                <w:rFonts w:asciiTheme="minorHAnsi" w:eastAsia="Times New Roman" w:hAnsiTheme="minorHAnsi" w:cs="Arial"/>
                <w:sz w:val="36"/>
                <w:szCs w:val="44"/>
              </w:rPr>
            </w:pPr>
          </w:p>
        </w:tc>
      </w:tr>
      <w:tr w:rsidR="00B12CF9" w14:paraId="705F4DFD" w14:textId="77777777" w:rsidTr="005C0715">
        <w:tc>
          <w:tcPr>
            <w:tcW w:w="3325" w:type="dxa"/>
            <w:shd w:val="clear" w:color="auto" w:fill="F2F2F2" w:themeFill="background1" w:themeFillShade="F2"/>
          </w:tcPr>
          <w:p w14:paraId="71C78963"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0EEE8B36" w14:textId="77777777" w:rsidR="00B12CF9" w:rsidRPr="008E5C37" w:rsidRDefault="00B12CF9" w:rsidP="005C0715">
            <w:pPr>
              <w:rPr>
                <w:rFonts w:asciiTheme="minorHAnsi" w:eastAsia="Times New Roman" w:hAnsiTheme="minorHAnsi" w:cs="Arial"/>
                <w:sz w:val="36"/>
                <w:szCs w:val="44"/>
              </w:rPr>
            </w:pPr>
          </w:p>
        </w:tc>
      </w:tr>
    </w:tbl>
    <w:p w14:paraId="133FC5AB" w14:textId="77777777" w:rsidR="00B12CF9" w:rsidRDefault="00B12CF9" w:rsidP="00B12CF9">
      <w:pPr>
        <w:rPr>
          <w:rFonts w:asciiTheme="minorHAnsi" w:eastAsia="Times New Roman" w:hAnsiTheme="minorHAnsi" w:cs="Arial"/>
          <w:b/>
          <w:sz w:val="36"/>
          <w:szCs w:val="44"/>
        </w:rPr>
      </w:pPr>
    </w:p>
    <w:p w14:paraId="108EF42F" w14:textId="77777777" w:rsidR="00B12CF9" w:rsidRDefault="00B12CF9" w:rsidP="00B12CF9">
      <w:pPr>
        <w:pStyle w:val="NoSpacing"/>
      </w:pPr>
      <w:r>
        <w:br w:type="page"/>
      </w:r>
    </w:p>
    <w:p w14:paraId="573A785A"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79280742" w14:textId="77777777" w:rsidR="00B12CF9" w:rsidRPr="000205E7" w:rsidRDefault="00B12CF9" w:rsidP="00B12CF9">
      <w:pPr>
        <w:pStyle w:val="NoSpacing"/>
        <w:rPr>
          <w:rFonts w:asciiTheme="minorHAnsi" w:hAnsiTheme="minorHAnsi" w:cstheme="minorHAnsi"/>
          <w:sz w:val="24"/>
          <w:szCs w:val="24"/>
        </w:rPr>
      </w:pPr>
    </w:p>
    <w:p w14:paraId="0FAB64C4" w14:textId="367CF018"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8712B9">
        <w:rPr>
          <w:rFonts w:asciiTheme="minorHAnsi" w:hAnsiTheme="minorHAnsi" w:cstheme="minorHAnsi"/>
          <w:sz w:val="24"/>
          <w:szCs w:val="24"/>
        </w:rPr>
        <w:t xml:space="preserve">The University of Tennessee is seeking to procure one </w:t>
      </w:r>
      <w:r w:rsidR="00B816FC">
        <w:rPr>
          <w:rFonts w:asciiTheme="minorHAnsi" w:hAnsiTheme="minorHAnsi" w:cstheme="minorHAnsi"/>
          <w:sz w:val="24"/>
          <w:szCs w:val="24"/>
        </w:rPr>
        <w:t>(1)</w:t>
      </w:r>
      <w:r w:rsidR="00B816FC" w:rsidRPr="00EF5FED">
        <w:rPr>
          <w:sz w:val="24"/>
        </w:rPr>
        <w:t xml:space="preserve"> </w:t>
      </w:r>
      <w:r w:rsidR="00B816FC">
        <w:rPr>
          <w:sz w:val="24"/>
        </w:rPr>
        <w:t xml:space="preserve">clay </w:t>
      </w:r>
      <w:r w:rsidR="00B816FC" w:rsidRPr="00EF5FED">
        <w:rPr>
          <w:sz w:val="24"/>
        </w:rPr>
        <w:t xml:space="preserve">slab roller </w:t>
      </w:r>
      <w:r w:rsidR="008712B9" w:rsidRPr="00EF5FED">
        <w:rPr>
          <w:sz w:val="24"/>
        </w:rPr>
        <w:t xml:space="preserve">for </w:t>
      </w:r>
      <w:r w:rsidR="008712B9">
        <w:rPr>
          <w:sz w:val="24"/>
        </w:rPr>
        <w:t xml:space="preserve">the </w:t>
      </w:r>
      <w:r w:rsidR="008712B9" w:rsidRPr="00EF5FED">
        <w:rPr>
          <w:sz w:val="24"/>
        </w:rPr>
        <w:t>Undergraduate Ceramics Studio</w:t>
      </w:r>
      <w:r w:rsidR="008712B9">
        <w:rPr>
          <w:sz w:val="24"/>
        </w:rPr>
        <w:t xml:space="preserve"> for School of Art to replace the current unit.</w:t>
      </w:r>
      <w:r w:rsidR="00713797" w:rsidRPr="00713797">
        <w:rPr>
          <w:rFonts w:asciiTheme="minorHAnsi" w:hAnsiTheme="minorHAnsi" w:cstheme="minorHAnsi"/>
          <w:sz w:val="24"/>
          <w:szCs w:val="24"/>
        </w:rPr>
        <w:t xml:space="preserve"> </w:t>
      </w:r>
      <w:r w:rsidR="00713797">
        <w:rPr>
          <w:rFonts w:asciiTheme="minorHAnsi" w:hAnsiTheme="minorHAnsi" w:cstheme="minorHAnsi"/>
          <w:sz w:val="24"/>
          <w:szCs w:val="24"/>
        </w:rPr>
        <w:t>See the technical specifications for more information.</w:t>
      </w:r>
    </w:p>
    <w:p w14:paraId="3D457B5C" w14:textId="77777777" w:rsidR="00B12CF9" w:rsidRDefault="00B12CF9" w:rsidP="00B12CF9">
      <w:pPr>
        <w:pStyle w:val="NoSpacing"/>
        <w:rPr>
          <w:rFonts w:asciiTheme="minorHAnsi" w:hAnsiTheme="minorHAnsi" w:cstheme="minorHAnsi"/>
          <w:sz w:val="24"/>
          <w:szCs w:val="24"/>
          <w:u w:val="single"/>
        </w:rPr>
      </w:pPr>
    </w:p>
    <w:p w14:paraId="2D9A4F31" w14:textId="77777777" w:rsidR="00B12CF9" w:rsidRDefault="00B12CF9" w:rsidP="00B12CF9">
      <w:pPr>
        <w:pStyle w:val="NoSpacing"/>
        <w:ind w:left="360"/>
        <w:rPr>
          <w:rFonts w:asciiTheme="minorHAnsi" w:hAnsiTheme="minorHAnsi" w:cstheme="minorHAnsi"/>
          <w:sz w:val="24"/>
          <w:szCs w:val="24"/>
        </w:rPr>
      </w:pPr>
    </w:p>
    <w:p w14:paraId="13DCCB51"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1870A4F7"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34755699" w14:textId="77777777" w:rsidR="00B12CF9" w:rsidRPr="000205E7" w:rsidRDefault="00B12CF9" w:rsidP="00B12CF9">
      <w:pPr>
        <w:pStyle w:val="NoSpacing"/>
        <w:ind w:left="1440"/>
        <w:rPr>
          <w:rFonts w:asciiTheme="minorHAnsi" w:hAnsiTheme="minorHAnsi" w:cstheme="minorHAnsi"/>
          <w:sz w:val="24"/>
          <w:szCs w:val="24"/>
          <w:u w:val="single"/>
        </w:rPr>
      </w:pPr>
    </w:p>
    <w:p w14:paraId="1487EE45"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3DCC99DE"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6D37BA74" w14:textId="77777777"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0DF8E80F"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20EB3AED" w14:textId="77777777" w:rsidR="00B12CF9" w:rsidRDefault="00B12CF9" w:rsidP="00B12CF9">
      <w:pPr>
        <w:pStyle w:val="NoSpacing"/>
        <w:ind w:firstLine="720"/>
        <w:rPr>
          <w:rFonts w:asciiTheme="minorHAnsi" w:hAnsiTheme="minorHAnsi" w:cstheme="minorHAnsi"/>
          <w:sz w:val="24"/>
          <w:szCs w:val="24"/>
        </w:rPr>
      </w:pPr>
    </w:p>
    <w:p w14:paraId="7B4067C4"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70D9C9F4"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6E258A4D" w14:textId="25D967C6"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8712B9">
        <w:rPr>
          <w:rFonts w:asciiTheme="minorHAnsi" w:hAnsiTheme="minorHAnsi" w:cstheme="minorHAnsi"/>
          <w:sz w:val="24"/>
          <w:szCs w:val="24"/>
        </w:rPr>
        <w:t>Tonya Sartin</w:t>
      </w:r>
      <w:r w:rsidR="008712B9">
        <w:rPr>
          <w:rFonts w:asciiTheme="minorHAnsi" w:hAnsiTheme="minorHAnsi" w:cstheme="minorHAnsi"/>
          <w:sz w:val="24"/>
          <w:szCs w:val="24"/>
        </w:rPr>
        <w:tab/>
      </w:r>
    </w:p>
    <w:p w14:paraId="3137A522" w14:textId="5381D39A"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Title:</w:t>
      </w:r>
      <w:r w:rsidR="008712B9">
        <w:rPr>
          <w:rFonts w:asciiTheme="minorHAnsi" w:hAnsiTheme="minorHAnsi" w:cstheme="minorHAnsi"/>
          <w:sz w:val="24"/>
          <w:szCs w:val="24"/>
        </w:rPr>
        <w:t xml:space="preserve"> Strategic Sourcing Manager</w:t>
      </w:r>
    </w:p>
    <w:p w14:paraId="3EC6D840" w14:textId="03F7C578"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8712B9">
        <w:rPr>
          <w:rFonts w:asciiTheme="minorHAnsi" w:hAnsiTheme="minorHAnsi" w:cstheme="minorHAnsi"/>
          <w:sz w:val="24"/>
          <w:szCs w:val="24"/>
        </w:rPr>
        <w:t xml:space="preserve"> tonya@tennessee.edu</w:t>
      </w:r>
    </w:p>
    <w:p w14:paraId="6D62F35A" w14:textId="4C050D08"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Pr="000205E7">
        <w:rPr>
          <w:rFonts w:asciiTheme="minorHAnsi" w:hAnsiTheme="minorHAnsi" w:cstheme="minorHAnsi"/>
          <w:sz w:val="24"/>
          <w:szCs w:val="24"/>
        </w:rPr>
        <w:t xml:space="preserve"> </w:t>
      </w:r>
      <w:r w:rsidR="008712B9">
        <w:rPr>
          <w:rFonts w:asciiTheme="minorHAnsi" w:hAnsiTheme="minorHAnsi" w:cstheme="minorHAnsi"/>
          <w:sz w:val="24"/>
          <w:szCs w:val="24"/>
        </w:rPr>
        <w:t>865-974-7483</w:t>
      </w:r>
    </w:p>
    <w:p w14:paraId="081EB750" w14:textId="77777777" w:rsidR="00B12CF9" w:rsidRPr="000205E7" w:rsidRDefault="00B12CF9" w:rsidP="00B12CF9">
      <w:pPr>
        <w:pStyle w:val="NoSpacing"/>
        <w:ind w:left="2160"/>
        <w:rPr>
          <w:rFonts w:asciiTheme="minorHAnsi" w:hAnsiTheme="minorHAnsi" w:cstheme="minorHAnsi"/>
          <w:sz w:val="24"/>
          <w:szCs w:val="24"/>
        </w:rPr>
      </w:pPr>
    </w:p>
    <w:p w14:paraId="1D6B3608"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35048CB3" w14:textId="77777777" w:rsidR="00B12CF9" w:rsidRPr="000205E7" w:rsidRDefault="00B12CF9" w:rsidP="00B12CF9">
      <w:pPr>
        <w:pStyle w:val="NoSpacing"/>
        <w:ind w:left="360"/>
        <w:rPr>
          <w:rFonts w:asciiTheme="minorHAnsi" w:hAnsiTheme="minorHAnsi" w:cstheme="minorHAnsi"/>
          <w:sz w:val="24"/>
          <w:szCs w:val="24"/>
        </w:rPr>
      </w:pPr>
    </w:p>
    <w:p w14:paraId="0A9686EC" w14:textId="77777777" w:rsidR="00B12CF9" w:rsidRPr="000205E7" w:rsidRDefault="00B12CF9" w:rsidP="00B12CF9">
      <w:pPr>
        <w:pStyle w:val="NoSpacing"/>
        <w:ind w:left="720"/>
        <w:rPr>
          <w:rFonts w:asciiTheme="minorHAnsi" w:hAnsiTheme="minorHAnsi" w:cstheme="minorHAnsi"/>
          <w:sz w:val="24"/>
          <w:szCs w:val="24"/>
        </w:rPr>
      </w:pPr>
    </w:p>
    <w:p w14:paraId="4BC2C1AF" w14:textId="77777777" w:rsidR="00B12CF9" w:rsidRDefault="00B12CF9" w:rsidP="00B12CF9">
      <w:pPr>
        <w:numPr>
          <w:ilvl w:val="0"/>
          <w:numId w:val="1"/>
        </w:numPr>
        <w:ind w:left="360"/>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098D2806" w14:textId="77777777" w:rsidR="00B12CF9" w:rsidRPr="00EF46A2" w:rsidRDefault="00B12CF9" w:rsidP="00B12CF9">
      <w:pPr>
        <w:pStyle w:val="NoSpacing"/>
        <w:ind w:left="360"/>
        <w:rPr>
          <w:rFonts w:asciiTheme="minorHAnsi" w:hAnsiTheme="minorHAnsi" w:cstheme="minorHAnsi"/>
          <w:sz w:val="24"/>
          <w:szCs w:val="24"/>
        </w:rPr>
      </w:pPr>
    </w:p>
    <w:p w14:paraId="074532AB" w14:textId="2B5B1819"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r w:rsidR="00713797">
        <w:rPr>
          <w:rFonts w:asciiTheme="minorHAnsi" w:hAnsiTheme="minorHAnsi" w:cstheme="minorHAnsi"/>
          <w:sz w:val="24"/>
          <w:szCs w:val="24"/>
        </w:rPr>
        <w:t xml:space="preserve">This </w:t>
      </w:r>
      <w:r w:rsidR="008D1923">
        <w:rPr>
          <w:rFonts w:asciiTheme="minorHAnsi" w:hAnsiTheme="minorHAnsi" w:cstheme="minorHAnsi"/>
          <w:sz w:val="24"/>
          <w:szCs w:val="24"/>
        </w:rPr>
        <w:t>is a one-time purchase.</w:t>
      </w:r>
    </w:p>
    <w:p w14:paraId="100107F2" w14:textId="77777777" w:rsidR="008712B9" w:rsidRDefault="008712B9" w:rsidP="00B12CF9">
      <w:pPr>
        <w:pStyle w:val="NoSpacing"/>
        <w:ind w:left="360"/>
        <w:rPr>
          <w:rFonts w:asciiTheme="minorHAnsi" w:hAnsiTheme="minorHAnsi" w:cstheme="minorHAnsi"/>
          <w:sz w:val="24"/>
          <w:szCs w:val="24"/>
        </w:rPr>
      </w:pPr>
    </w:p>
    <w:p w14:paraId="09EE599F" w14:textId="2A166A03"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8712B9">
        <w:rPr>
          <w:rFonts w:asciiTheme="minorHAnsi" w:hAnsiTheme="minorHAnsi" w:cstheme="minorHAnsi"/>
          <w:sz w:val="24"/>
          <w:szCs w:val="24"/>
        </w:rPr>
        <w:t>one r</w:t>
      </w:r>
      <w:r>
        <w:rPr>
          <w:rFonts w:asciiTheme="minorHAnsi" w:hAnsiTheme="minorHAnsi" w:cstheme="minorHAnsi"/>
          <w:sz w:val="24"/>
          <w:szCs w:val="24"/>
        </w:rPr>
        <w:t xml:space="preserve">espondent, unless the University deems it to be in its best interest to award to fewer, or more, respondents.  The University retains sole discretion over this decision. </w:t>
      </w:r>
      <w:r w:rsidR="00383F2C">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17F0D14D" w14:textId="77777777" w:rsidR="00B12CF9" w:rsidRPr="002A50A1" w:rsidRDefault="00B12CF9" w:rsidP="00B12CF9">
      <w:pPr>
        <w:pStyle w:val="NoSpacing"/>
        <w:ind w:left="360"/>
        <w:rPr>
          <w:rFonts w:asciiTheme="minorHAnsi" w:hAnsiTheme="minorHAnsi" w:cstheme="minorHAnsi"/>
          <w:sz w:val="24"/>
          <w:szCs w:val="24"/>
        </w:rPr>
      </w:pPr>
    </w:p>
    <w:p w14:paraId="0C9A34B8" w14:textId="77777777" w:rsidR="00B12CF9" w:rsidRPr="00C04F05"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The third-party entity may negotiate its own terms with the supplier</w:t>
      </w:r>
      <w:r w:rsidRPr="00281BF7" w:rsidDel="000936F2">
        <w:rPr>
          <w:rFonts w:asciiTheme="minorHAnsi" w:hAnsiTheme="minorHAnsi" w:cstheme="minorHAnsi"/>
          <w:sz w:val="24"/>
          <w:szCs w:val="24"/>
        </w:rPr>
        <w:t xml:space="preserve"> </w:t>
      </w:r>
    </w:p>
    <w:p w14:paraId="2E23506C" w14:textId="454D8C3B" w:rsidR="00DF6426" w:rsidRDefault="00B12CF9" w:rsidP="00713797">
      <w:pPr>
        <w:pStyle w:val="NoSpacing"/>
        <w:numPr>
          <w:ilvl w:val="0"/>
          <w:numId w:val="1"/>
        </w:numPr>
        <w:ind w:left="360"/>
        <w:rPr>
          <w:rFonts w:asciiTheme="minorHAnsi" w:hAnsiTheme="minorHAnsi" w:cstheme="minorHAnsi"/>
          <w:sz w:val="24"/>
          <w:szCs w:val="24"/>
        </w:rPr>
      </w:pPr>
      <w:r w:rsidRPr="00713797">
        <w:rPr>
          <w:rFonts w:asciiTheme="minorHAnsi" w:hAnsiTheme="minorHAnsi" w:cstheme="minorHAnsi"/>
          <w:b/>
          <w:bCs/>
          <w:sz w:val="24"/>
          <w:szCs w:val="24"/>
          <w:u w:val="single"/>
        </w:rPr>
        <w:lastRenderedPageBreak/>
        <w:t>No Pre-Bid Conference or Site Visit</w:t>
      </w:r>
      <w:r w:rsidRPr="00713797">
        <w:rPr>
          <w:rFonts w:asciiTheme="minorHAnsi" w:hAnsiTheme="minorHAnsi" w:cstheme="minorHAnsi"/>
          <w:b/>
          <w:bCs/>
          <w:sz w:val="24"/>
          <w:szCs w:val="24"/>
        </w:rPr>
        <w:t>:</w:t>
      </w:r>
      <w:r w:rsidRPr="00713797">
        <w:rPr>
          <w:rFonts w:asciiTheme="minorHAnsi" w:hAnsiTheme="minorHAnsi" w:cstheme="minorHAnsi"/>
          <w:sz w:val="24"/>
          <w:szCs w:val="24"/>
        </w:rPr>
        <w:t xml:space="preserve"> The University will not hold a pre-bid conference/site visit for this solicitation. </w:t>
      </w:r>
    </w:p>
    <w:p w14:paraId="08EFA854" w14:textId="77777777" w:rsidR="00713797" w:rsidRPr="00713797" w:rsidRDefault="00713797" w:rsidP="00713797">
      <w:pPr>
        <w:pStyle w:val="NoSpacing"/>
        <w:ind w:left="360"/>
        <w:rPr>
          <w:rFonts w:asciiTheme="minorHAnsi" w:hAnsiTheme="minorHAnsi" w:cstheme="minorHAnsi"/>
          <w:sz w:val="24"/>
          <w:szCs w:val="24"/>
        </w:rPr>
      </w:pPr>
    </w:p>
    <w:p w14:paraId="1BD106DE"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3D013F00"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2053FD9F" w14:textId="77777777" w:rsidTr="005C0715">
        <w:tc>
          <w:tcPr>
            <w:tcW w:w="4385" w:type="dxa"/>
          </w:tcPr>
          <w:p w14:paraId="73DAC05C"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2A126FB3" w14:textId="1183AD03" w:rsidR="00B12CF9" w:rsidRDefault="00D42183" w:rsidP="005C0715">
            <w:pPr>
              <w:pStyle w:val="NoSpacing"/>
              <w:rPr>
                <w:rFonts w:asciiTheme="minorHAnsi" w:hAnsiTheme="minorHAnsi" w:cstheme="minorHAnsi"/>
                <w:sz w:val="24"/>
                <w:szCs w:val="24"/>
              </w:rPr>
            </w:pPr>
            <w:r>
              <w:rPr>
                <w:rFonts w:asciiTheme="minorHAnsi" w:hAnsiTheme="minorHAnsi" w:cstheme="minorHAnsi"/>
                <w:sz w:val="24"/>
                <w:szCs w:val="24"/>
              </w:rPr>
              <w:t>4/19/2024</w:t>
            </w:r>
          </w:p>
        </w:tc>
      </w:tr>
      <w:tr w:rsidR="00B12CF9" w:rsidRPr="00EF46A2" w14:paraId="00BF44DB" w14:textId="77777777" w:rsidTr="005C0715">
        <w:tc>
          <w:tcPr>
            <w:tcW w:w="4385" w:type="dxa"/>
          </w:tcPr>
          <w:p w14:paraId="51357D33"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Mandatory Pre-Bid Conference</w:t>
            </w:r>
          </w:p>
        </w:tc>
        <w:tc>
          <w:tcPr>
            <w:tcW w:w="4245" w:type="dxa"/>
          </w:tcPr>
          <w:p w14:paraId="0C10EF76" w14:textId="2ACF74FC" w:rsidR="00B12CF9" w:rsidRPr="00EF46A2" w:rsidRDefault="008712B9" w:rsidP="005C0715">
            <w:pPr>
              <w:pStyle w:val="NoSpacing"/>
              <w:rPr>
                <w:rFonts w:asciiTheme="minorHAnsi" w:hAnsiTheme="minorHAnsi" w:cstheme="minorHAnsi"/>
                <w:color w:val="FF0000"/>
                <w:sz w:val="24"/>
                <w:szCs w:val="24"/>
              </w:rPr>
            </w:pPr>
            <w:r w:rsidRPr="008712B9">
              <w:rPr>
                <w:rFonts w:asciiTheme="minorHAnsi" w:hAnsiTheme="minorHAnsi" w:cstheme="minorHAnsi"/>
                <w:sz w:val="24"/>
                <w:szCs w:val="24"/>
              </w:rPr>
              <w:t>N/A</w:t>
            </w:r>
          </w:p>
        </w:tc>
      </w:tr>
      <w:tr w:rsidR="00B12CF9" w14:paraId="7DD2EBC1" w14:textId="77777777" w:rsidTr="005C0715">
        <w:tc>
          <w:tcPr>
            <w:tcW w:w="4385" w:type="dxa"/>
          </w:tcPr>
          <w:p w14:paraId="44C147DF"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45EF0656" w14:textId="2CBE57A6" w:rsidR="00B12CF9" w:rsidRDefault="00D42183" w:rsidP="005C0715">
            <w:pPr>
              <w:pStyle w:val="NoSpacing"/>
              <w:rPr>
                <w:rFonts w:asciiTheme="minorHAnsi" w:hAnsiTheme="minorHAnsi" w:cstheme="minorHAnsi"/>
                <w:sz w:val="24"/>
                <w:szCs w:val="24"/>
              </w:rPr>
            </w:pPr>
            <w:r>
              <w:rPr>
                <w:rFonts w:asciiTheme="minorHAnsi" w:hAnsiTheme="minorHAnsi" w:cstheme="minorHAnsi"/>
                <w:sz w:val="24"/>
                <w:szCs w:val="24"/>
              </w:rPr>
              <w:t>4/26/2024</w:t>
            </w:r>
          </w:p>
        </w:tc>
      </w:tr>
      <w:tr w:rsidR="00B12CF9" w14:paraId="6EF4ECB4" w14:textId="77777777" w:rsidTr="005C0715">
        <w:tc>
          <w:tcPr>
            <w:tcW w:w="4385" w:type="dxa"/>
          </w:tcPr>
          <w:p w14:paraId="1FAB3524"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06225A75" w14:textId="3CDF0F52" w:rsidR="00B12CF9" w:rsidRDefault="00D42183" w:rsidP="005C0715">
            <w:pPr>
              <w:pStyle w:val="NoSpacing"/>
              <w:rPr>
                <w:rFonts w:asciiTheme="minorHAnsi" w:hAnsiTheme="minorHAnsi" w:cstheme="minorHAnsi"/>
                <w:sz w:val="24"/>
                <w:szCs w:val="24"/>
              </w:rPr>
            </w:pPr>
            <w:r>
              <w:rPr>
                <w:rFonts w:asciiTheme="minorHAnsi" w:hAnsiTheme="minorHAnsi" w:cstheme="minorHAnsi"/>
                <w:sz w:val="24"/>
                <w:szCs w:val="24"/>
              </w:rPr>
              <w:t>5/2/2024 at 2:00PM EST</w:t>
            </w:r>
          </w:p>
        </w:tc>
      </w:tr>
      <w:tr w:rsidR="00B12CF9" w:rsidRPr="00EF46A2" w14:paraId="0CB485EE" w14:textId="77777777" w:rsidTr="007640CD">
        <w:trPr>
          <w:trHeight w:val="107"/>
        </w:trPr>
        <w:tc>
          <w:tcPr>
            <w:tcW w:w="4385" w:type="dxa"/>
          </w:tcPr>
          <w:p w14:paraId="4529AA0E"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Site visit</w:t>
            </w:r>
          </w:p>
        </w:tc>
        <w:tc>
          <w:tcPr>
            <w:tcW w:w="4245" w:type="dxa"/>
          </w:tcPr>
          <w:p w14:paraId="6A6DADE1" w14:textId="75DCF29E" w:rsidR="00B12CF9" w:rsidRPr="00EF46A2" w:rsidRDefault="008712B9" w:rsidP="005C0715">
            <w:pPr>
              <w:pStyle w:val="NoSpacing"/>
              <w:rPr>
                <w:rFonts w:asciiTheme="minorHAnsi" w:hAnsiTheme="minorHAnsi" w:cstheme="minorHAnsi"/>
                <w:color w:val="FF0000"/>
                <w:sz w:val="24"/>
                <w:szCs w:val="24"/>
              </w:rPr>
            </w:pPr>
            <w:r w:rsidRPr="008712B9">
              <w:rPr>
                <w:rFonts w:asciiTheme="minorHAnsi" w:hAnsiTheme="minorHAnsi" w:cstheme="minorHAnsi"/>
                <w:sz w:val="24"/>
                <w:szCs w:val="24"/>
              </w:rPr>
              <w:t>N/A</w:t>
            </w:r>
          </w:p>
        </w:tc>
      </w:tr>
    </w:tbl>
    <w:p w14:paraId="0482B23D" w14:textId="77777777" w:rsidR="00B12CF9" w:rsidRDefault="00B12CF9" w:rsidP="00B12CF9">
      <w:pPr>
        <w:pStyle w:val="NoSpacing"/>
        <w:rPr>
          <w:rFonts w:asciiTheme="minorHAnsi" w:hAnsiTheme="minorHAnsi" w:cstheme="minorHAnsi"/>
          <w:b/>
          <w:sz w:val="24"/>
          <w:szCs w:val="24"/>
        </w:rPr>
      </w:pPr>
    </w:p>
    <w:p w14:paraId="24FC792C"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04C14A81"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0653EF37"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5D0CB4DF" w14:textId="77777777" w:rsidR="007640CD" w:rsidRPr="00B52477" w:rsidRDefault="007640CD" w:rsidP="00B52477">
      <w:pPr>
        <w:pStyle w:val="NoSpacing"/>
        <w:ind w:left="1440"/>
        <w:rPr>
          <w:rFonts w:asciiTheme="minorHAnsi" w:hAnsiTheme="minorHAnsi" w:cstheme="minorHAnsi"/>
          <w:b/>
          <w:sz w:val="24"/>
          <w:szCs w:val="24"/>
        </w:rPr>
      </w:pPr>
    </w:p>
    <w:p w14:paraId="4B83A913"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r w:rsidR="002435FB">
        <w:rPr>
          <w:sz w:val="24"/>
        </w:rPr>
        <w:t>Respondent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14FA247B" w14:textId="77777777" w:rsidR="007640CD" w:rsidRPr="00B52477" w:rsidRDefault="007640CD" w:rsidP="00B52477">
      <w:pPr>
        <w:pStyle w:val="NoSpacing"/>
        <w:ind w:left="720"/>
        <w:rPr>
          <w:rFonts w:asciiTheme="minorHAnsi" w:hAnsiTheme="minorHAnsi" w:cstheme="minorHAnsi"/>
          <w:b/>
          <w:sz w:val="24"/>
          <w:szCs w:val="24"/>
        </w:rPr>
      </w:pPr>
    </w:p>
    <w:p w14:paraId="5B564FB5"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193CC878" w14:textId="77777777" w:rsidR="00B12CF9" w:rsidRDefault="00B12CF9" w:rsidP="00B12CF9">
      <w:pPr>
        <w:pStyle w:val="NoSpacing"/>
        <w:rPr>
          <w:rFonts w:asciiTheme="minorHAnsi" w:hAnsiTheme="minorHAnsi" w:cstheme="minorHAnsi"/>
          <w:b/>
          <w:sz w:val="24"/>
          <w:szCs w:val="24"/>
        </w:rPr>
      </w:pPr>
    </w:p>
    <w:p w14:paraId="4BE364C8" w14:textId="77777777"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6D9E278B" w14:textId="77777777" w:rsidR="00B12CF9" w:rsidRDefault="00B12CF9" w:rsidP="00B12CF9">
      <w:pPr>
        <w:pStyle w:val="NoSpacing"/>
        <w:rPr>
          <w:rFonts w:asciiTheme="minorHAnsi" w:hAnsiTheme="minorHAnsi" w:cstheme="minorHAnsi"/>
          <w:sz w:val="24"/>
          <w:szCs w:val="24"/>
        </w:rPr>
      </w:pPr>
    </w:p>
    <w:p w14:paraId="675FE5FF"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78CB6087" w14:textId="12C9A689" w:rsidR="00664E61" w:rsidRDefault="00664E61" w:rsidP="00713797">
      <w:pPr>
        <w:pStyle w:val="ListParagraph"/>
        <w:numPr>
          <w:ilvl w:val="0"/>
          <w:numId w:val="2"/>
        </w:numPr>
        <w:rPr>
          <w:rFonts w:asciiTheme="minorHAnsi" w:hAnsiTheme="minorHAnsi" w:cstheme="minorHAnsi"/>
          <w:b/>
          <w:bCs/>
          <w:sz w:val="24"/>
          <w:szCs w:val="24"/>
        </w:rPr>
      </w:pPr>
      <w:r w:rsidRPr="00664E61">
        <w:rPr>
          <w:rFonts w:asciiTheme="minorHAnsi" w:hAnsiTheme="minorHAnsi" w:cstheme="minorHAnsi"/>
          <w:b/>
          <w:bCs/>
          <w:sz w:val="24"/>
          <w:szCs w:val="24"/>
        </w:rPr>
        <w:t>Time-line:</w:t>
      </w:r>
      <w:r>
        <w:rPr>
          <w:rFonts w:asciiTheme="minorHAnsi" w:hAnsiTheme="minorHAnsi" w:cstheme="minorHAnsi"/>
          <w:b/>
          <w:bCs/>
          <w:sz w:val="24"/>
          <w:szCs w:val="24"/>
        </w:rPr>
        <w:t xml:space="preserve"> </w:t>
      </w:r>
      <w:r w:rsidRPr="00664E61">
        <w:rPr>
          <w:rFonts w:asciiTheme="minorHAnsi" w:hAnsiTheme="minorHAnsi" w:cstheme="minorHAnsi"/>
          <w:sz w:val="24"/>
          <w:szCs w:val="24"/>
        </w:rPr>
        <w:t xml:space="preserve">The slab roller </w:t>
      </w:r>
      <w:r w:rsidRPr="004471EF">
        <w:rPr>
          <w:rFonts w:asciiTheme="minorHAnsi" w:hAnsiTheme="minorHAnsi" w:cstheme="minorHAnsi"/>
          <w:sz w:val="24"/>
          <w:szCs w:val="24"/>
          <w:u w:val="single"/>
        </w:rPr>
        <w:t>must</w:t>
      </w:r>
      <w:r w:rsidRPr="00664E61">
        <w:rPr>
          <w:rFonts w:asciiTheme="minorHAnsi" w:hAnsiTheme="minorHAnsi" w:cstheme="minorHAnsi"/>
          <w:sz w:val="24"/>
          <w:szCs w:val="24"/>
        </w:rPr>
        <w:t xml:space="preserve"> be delivered on or before June 28, 2024.  Can you meet this time</w:t>
      </w:r>
      <w:r>
        <w:rPr>
          <w:rFonts w:asciiTheme="minorHAnsi" w:hAnsiTheme="minorHAnsi" w:cstheme="minorHAnsi"/>
          <w:sz w:val="24"/>
          <w:szCs w:val="24"/>
        </w:rPr>
        <w:t>-line</w:t>
      </w:r>
      <w:r w:rsidRPr="00664E61">
        <w:rPr>
          <w:rFonts w:asciiTheme="minorHAnsi" w:hAnsiTheme="minorHAnsi" w:cstheme="minorHAnsi"/>
          <w:sz w:val="24"/>
          <w:szCs w:val="24"/>
        </w:rPr>
        <w:t xml:space="preserve"> requirement?</w:t>
      </w:r>
      <w:r>
        <w:rPr>
          <w:rFonts w:asciiTheme="minorHAnsi" w:hAnsiTheme="minorHAnsi" w:cstheme="minorHAnsi"/>
          <w:b/>
          <w:bCs/>
          <w:sz w:val="24"/>
          <w:szCs w:val="24"/>
        </w:rPr>
        <w:t xml:space="preserve">  </w:t>
      </w:r>
    </w:p>
    <w:p w14:paraId="561898D1" w14:textId="1DC368AE" w:rsidR="00664E61" w:rsidRPr="004471EF" w:rsidRDefault="00664E61" w:rsidP="00664E61">
      <w:pPr>
        <w:pStyle w:val="ListParagraph"/>
        <w:numPr>
          <w:ilvl w:val="1"/>
          <w:numId w:val="2"/>
        </w:numPr>
        <w:rPr>
          <w:rFonts w:asciiTheme="minorHAnsi" w:hAnsiTheme="minorHAnsi" w:cstheme="minorHAnsi"/>
          <w:sz w:val="24"/>
          <w:szCs w:val="24"/>
        </w:rPr>
      </w:pPr>
      <w:r w:rsidRPr="004471EF">
        <w:rPr>
          <w:rFonts w:asciiTheme="minorHAnsi" w:hAnsiTheme="minorHAnsi" w:cstheme="minorHAnsi"/>
          <w:sz w:val="24"/>
          <w:szCs w:val="24"/>
        </w:rPr>
        <w:t>Yes</w:t>
      </w:r>
    </w:p>
    <w:p w14:paraId="1ED42A89" w14:textId="4B1F9E51" w:rsidR="004471EF" w:rsidRPr="004471EF" w:rsidRDefault="00664E61" w:rsidP="004471EF">
      <w:pPr>
        <w:pStyle w:val="ListParagraph"/>
        <w:numPr>
          <w:ilvl w:val="1"/>
          <w:numId w:val="2"/>
        </w:numPr>
        <w:rPr>
          <w:rFonts w:asciiTheme="minorHAnsi" w:hAnsiTheme="minorHAnsi" w:cstheme="minorHAnsi"/>
          <w:sz w:val="24"/>
          <w:szCs w:val="24"/>
        </w:rPr>
      </w:pPr>
      <w:r w:rsidRPr="004471EF">
        <w:rPr>
          <w:rFonts w:asciiTheme="minorHAnsi" w:hAnsiTheme="minorHAnsi" w:cstheme="minorHAnsi"/>
          <w:sz w:val="24"/>
          <w:szCs w:val="24"/>
        </w:rPr>
        <w:t>No</w:t>
      </w:r>
    </w:p>
    <w:p w14:paraId="27AF2E79" w14:textId="77777777" w:rsidR="004471EF" w:rsidRDefault="004471EF" w:rsidP="004471EF">
      <w:pPr>
        <w:pStyle w:val="ListParagraph"/>
        <w:ind w:left="1440"/>
        <w:rPr>
          <w:rFonts w:asciiTheme="minorHAnsi" w:hAnsiTheme="minorHAnsi" w:cstheme="minorHAnsi"/>
          <w:b/>
          <w:bCs/>
          <w:sz w:val="24"/>
          <w:szCs w:val="24"/>
        </w:rPr>
      </w:pPr>
    </w:p>
    <w:p w14:paraId="2A49624F" w14:textId="77777777" w:rsidR="004471EF" w:rsidRDefault="004471EF" w:rsidP="004471EF">
      <w:pPr>
        <w:pStyle w:val="ListParagraph"/>
        <w:ind w:left="1440"/>
        <w:rPr>
          <w:rFonts w:asciiTheme="minorHAnsi" w:hAnsiTheme="minorHAnsi" w:cstheme="minorHAnsi"/>
          <w:b/>
          <w:bCs/>
          <w:sz w:val="24"/>
          <w:szCs w:val="24"/>
        </w:rPr>
      </w:pPr>
    </w:p>
    <w:p w14:paraId="653096EB" w14:textId="77777777" w:rsidR="00E36BFF" w:rsidRDefault="00E36BFF" w:rsidP="00B12CF9">
      <w:pPr>
        <w:pStyle w:val="ListParagraph"/>
        <w:numPr>
          <w:ilvl w:val="0"/>
          <w:numId w:val="2"/>
        </w:numPr>
        <w:rPr>
          <w:rFonts w:asciiTheme="minorHAnsi" w:hAnsiTheme="minorHAnsi" w:cstheme="minorHAnsi"/>
          <w:b/>
          <w:sz w:val="24"/>
          <w:szCs w:val="24"/>
          <w:u w:val="single"/>
        </w:rPr>
      </w:pPr>
      <w:r w:rsidRPr="008712B9">
        <w:rPr>
          <w:rFonts w:asciiTheme="minorHAnsi" w:hAnsiTheme="minorHAnsi" w:cstheme="minorHAnsi"/>
          <w:b/>
          <w:sz w:val="24"/>
          <w:szCs w:val="24"/>
          <w:highlight w:val="yellow"/>
          <w:u w:val="single"/>
        </w:rPr>
        <w:lastRenderedPageBreak/>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141A9C8D" w14:textId="5A74737D"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Insurance Requirements: </w:t>
      </w:r>
      <w:r w:rsidR="00C359D3">
        <w:rPr>
          <w:rFonts w:asciiTheme="minorHAnsi" w:hAnsiTheme="minorHAnsi" w:cstheme="minorHAnsi"/>
          <w:b/>
          <w:sz w:val="24"/>
          <w:szCs w:val="24"/>
          <w:u w:val="single"/>
        </w:rPr>
        <w:t xml:space="preserve"> </w:t>
      </w:r>
      <w:r w:rsidR="004471EF" w:rsidRPr="004471EF">
        <w:rPr>
          <w:rFonts w:asciiTheme="minorHAnsi" w:hAnsiTheme="minorHAnsi" w:cstheme="minorHAnsi"/>
          <w:bCs/>
          <w:sz w:val="24"/>
          <w:szCs w:val="24"/>
        </w:rPr>
        <w:t xml:space="preserve"> </w:t>
      </w:r>
      <w:r w:rsidR="004471EF">
        <w:rPr>
          <w:rFonts w:asciiTheme="minorHAnsi" w:hAnsiTheme="minorHAnsi" w:cstheme="minorHAnsi"/>
          <w:bCs/>
          <w:sz w:val="24"/>
          <w:szCs w:val="24"/>
        </w:rPr>
        <w:t>If delivered by a third-party carrier, then no insurance limits will be required.</w:t>
      </w:r>
    </w:p>
    <w:p w14:paraId="5BF48545" w14:textId="3C2E79CA"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Special Delivery Requirements: </w:t>
      </w:r>
      <w:r w:rsidR="004471EF">
        <w:rPr>
          <w:rFonts w:asciiTheme="minorHAnsi" w:hAnsiTheme="minorHAnsi" w:cstheme="minorHAnsi"/>
          <w:sz w:val="24"/>
          <w:szCs w:val="24"/>
        </w:rPr>
        <w:t>N/A</w:t>
      </w:r>
    </w:p>
    <w:p w14:paraId="4EA97CCF" w14:textId="48F3CF88" w:rsidR="00B12CF9" w:rsidRPr="00994C6A"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Contractor’s License</w:t>
      </w:r>
      <w:r w:rsidRPr="00E938BB">
        <w:rPr>
          <w:rFonts w:asciiTheme="minorHAnsi" w:hAnsiTheme="minorHAnsi" w:cstheme="minorHAnsi"/>
          <w:sz w:val="24"/>
          <w:szCs w:val="24"/>
        </w:rPr>
        <w:t>:</w:t>
      </w:r>
      <w:r>
        <w:rPr>
          <w:rFonts w:asciiTheme="minorHAnsi" w:hAnsiTheme="minorHAnsi" w:cstheme="minorHAnsi"/>
          <w:sz w:val="24"/>
          <w:szCs w:val="24"/>
        </w:rPr>
        <w:t xml:space="preserve"> </w:t>
      </w:r>
      <w:r w:rsidR="004471EF">
        <w:rPr>
          <w:rFonts w:asciiTheme="minorHAnsi" w:hAnsiTheme="minorHAnsi" w:cstheme="minorHAnsi"/>
          <w:sz w:val="24"/>
          <w:szCs w:val="24"/>
        </w:rPr>
        <w:t>N/A</w:t>
      </w:r>
    </w:p>
    <w:p w14:paraId="5725FBBF" w14:textId="1D4FE23C" w:rsidR="00994C6A" w:rsidRDefault="00994C6A"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Drug-Free Workplace Affidavit: </w:t>
      </w:r>
      <w:r w:rsidR="004471EF">
        <w:rPr>
          <w:rFonts w:asciiTheme="minorHAnsi" w:hAnsiTheme="minorHAnsi" w:cstheme="minorHAnsi"/>
          <w:sz w:val="24"/>
          <w:szCs w:val="24"/>
        </w:rPr>
        <w:t>N/A</w:t>
      </w:r>
    </w:p>
    <w:p w14:paraId="6737B377" w14:textId="459790B0"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Bond:</w:t>
      </w:r>
      <w:r w:rsidR="004471EF" w:rsidRPr="004471EF">
        <w:rPr>
          <w:rFonts w:asciiTheme="minorHAnsi" w:hAnsiTheme="minorHAnsi" w:cstheme="minorHAnsi"/>
          <w:sz w:val="24"/>
          <w:szCs w:val="24"/>
        </w:rPr>
        <w:t xml:space="preserve"> </w:t>
      </w:r>
      <w:r w:rsidR="004471EF">
        <w:rPr>
          <w:rFonts w:asciiTheme="minorHAnsi" w:hAnsiTheme="minorHAnsi" w:cstheme="minorHAnsi"/>
          <w:sz w:val="24"/>
          <w:szCs w:val="24"/>
        </w:rPr>
        <w:t>N/A</w:t>
      </w:r>
    </w:p>
    <w:p w14:paraId="2435D326" w14:textId="2C7A9712" w:rsidR="00B12CF9" w:rsidRPr="00D42183" w:rsidRDefault="00B12CF9" w:rsidP="00D42183">
      <w:pPr>
        <w:pStyle w:val="ListParagraph"/>
        <w:numPr>
          <w:ilvl w:val="0"/>
          <w:numId w:val="2"/>
        </w:numPr>
        <w:rPr>
          <w:sz w:val="24"/>
          <w:szCs w:val="24"/>
        </w:rPr>
      </w:pPr>
      <w:r w:rsidRPr="00F91284">
        <w:rPr>
          <w:rFonts w:asciiTheme="minorHAnsi" w:hAnsiTheme="minorHAnsi" w:cstheme="minorHAnsi"/>
          <w:b/>
          <w:sz w:val="24"/>
          <w:szCs w:val="24"/>
          <w:u w:val="single"/>
        </w:rPr>
        <w:t>Background Checks</w:t>
      </w:r>
      <w:r w:rsidRPr="00F91284">
        <w:rPr>
          <w:rFonts w:asciiTheme="minorHAnsi" w:hAnsiTheme="minorHAnsi" w:cstheme="minorHAnsi"/>
          <w:sz w:val="24"/>
          <w:szCs w:val="24"/>
        </w:rPr>
        <w:t xml:space="preserve">: </w:t>
      </w:r>
      <w:r>
        <w:rPr>
          <w:rFonts w:asciiTheme="minorHAnsi" w:hAnsiTheme="minorHAnsi" w:cstheme="minorHAnsi"/>
          <w:sz w:val="24"/>
          <w:szCs w:val="24"/>
        </w:rPr>
        <w:t xml:space="preserve"> </w:t>
      </w:r>
      <w:r w:rsidR="00D42183">
        <w:rPr>
          <w:rFonts w:asciiTheme="minorHAnsi" w:hAnsiTheme="minorHAnsi" w:cstheme="minorHAnsi"/>
          <w:sz w:val="24"/>
          <w:szCs w:val="24"/>
        </w:rPr>
        <w:t>N/A</w:t>
      </w:r>
      <w:r w:rsidRPr="00D42183">
        <w:rPr>
          <w:sz w:val="24"/>
          <w:szCs w:val="24"/>
        </w:rPr>
        <w:t>.</w:t>
      </w:r>
    </w:p>
    <w:p w14:paraId="353C2D14" w14:textId="2211C32B" w:rsidR="00B12CF9" w:rsidRPr="00506B3E" w:rsidRDefault="00B12CF9" w:rsidP="00D42183">
      <w:pPr>
        <w:pStyle w:val="ListParagraph"/>
        <w:numPr>
          <w:ilvl w:val="0"/>
          <w:numId w:val="2"/>
        </w:numPr>
        <w:rPr>
          <w:rFonts w:ascii="Calibri Light" w:eastAsia="Times New Roman" w:hAnsi="Calibri Light" w:cs="Calibri Light"/>
          <w:color w:val="000000"/>
          <w:sz w:val="24"/>
          <w:szCs w:val="24"/>
        </w:rPr>
      </w:pPr>
      <w:r w:rsidRPr="00E938BB">
        <w:rPr>
          <w:rFonts w:eastAsiaTheme="minorHAnsi"/>
          <w:b/>
          <w:sz w:val="24"/>
          <w:u w:val="single"/>
        </w:rPr>
        <w:t>Software</w:t>
      </w:r>
      <w:r w:rsidRPr="00E938BB">
        <w:rPr>
          <w:rFonts w:eastAsiaTheme="minorHAnsi"/>
          <w:b/>
          <w:u w:val="single"/>
        </w:rPr>
        <w:t>:</w:t>
      </w:r>
      <w:r w:rsidR="00D42183" w:rsidRPr="00D42183">
        <w:rPr>
          <w:rFonts w:asciiTheme="minorHAnsi" w:hAnsiTheme="minorHAnsi" w:cstheme="minorHAnsi"/>
          <w:sz w:val="24"/>
          <w:szCs w:val="24"/>
        </w:rPr>
        <w:t xml:space="preserve"> </w:t>
      </w:r>
      <w:r w:rsidR="00D42183">
        <w:rPr>
          <w:rFonts w:asciiTheme="minorHAnsi" w:hAnsiTheme="minorHAnsi" w:cstheme="minorHAnsi"/>
          <w:sz w:val="24"/>
          <w:szCs w:val="24"/>
        </w:rPr>
        <w:t>N/A</w:t>
      </w:r>
    </w:p>
    <w:p w14:paraId="609A32A1" w14:textId="1A9544D3" w:rsidR="00D42183" w:rsidRPr="006673AF" w:rsidRDefault="00B12CF9" w:rsidP="00D42183">
      <w:pPr>
        <w:pStyle w:val="ListParagraph"/>
        <w:numPr>
          <w:ilvl w:val="0"/>
          <w:numId w:val="2"/>
        </w:numPr>
        <w:rPr>
          <w:sz w:val="24"/>
          <w:szCs w:val="24"/>
        </w:rPr>
      </w:pPr>
      <w:r w:rsidRPr="00E938BB">
        <w:rPr>
          <w:b/>
          <w:sz w:val="24"/>
          <w:szCs w:val="24"/>
          <w:u w:val="single"/>
        </w:rPr>
        <w:t>Technology Resources</w:t>
      </w:r>
      <w:r w:rsidRPr="00E938BB">
        <w:rPr>
          <w:b/>
          <w:szCs w:val="24"/>
          <w:u w:val="single"/>
        </w:rPr>
        <w:t>:</w:t>
      </w:r>
      <w:r w:rsidRPr="00A91473">
        <w:rPr>
          <w:szCs w:val="24"/>
        </w:rPr>
        <w:t xml:space="preserve"> </w:t>
      </w:r>
      <w:r w:rsidR="00D42183">
        <w:rPr>
          <w:rFonts w:asciiTheme="minorHAnsi" w:hAnsiTheme="minorHAnsi" w:cstheme="minorHAnsi"/>
          <w:sz w:val="24"/>
          <w:szCs w:val="24"/>
        </w:rPr>
        <w:t>N/A</w:t>
      </w:r>
    </w:p>
    <w:p w14:paraId="16952694" w14:textId="05F09F0D" w:rsidR="00B12CF9" w:rsidRPr="006673AF" w:rsidRDefault="00B12CF9" w:rsidP="00B12CF9">
      <w:pPr>
        <w:pStyle w:val="ListParagraph"/>
        <w:rPr>
          <w:sz w:val="24"/>
          <w:szCs w:val="24"/>
        </w:rPr>
      </w:pPr>
    </w:p>
    <w:p w14:paraId="72F5B84E" w14:textId="77777777" w:rsidR="00B12CF9" w:rsidRDefault="00B12CF9" w:rsidP="00B12CF9">
      <w:pPr>
        <w:rPr>
          <w:rFonts w:asciiTheme="minorHAnsi" w:hAnsiTheme="minorHAnsi" w:cstheme="minorHAnsi"/>
          <w:b/>
          <w:sz w:val="24"/>
          <w:szCs w:val="24"/>
          <w:u w:val="single"/>
        </w:rPr>
      </w:pPr>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41B7A8B8" w14:textId="295791E5" w:rsidR="002F68D5" w:rsidRPr="002F68D5" w:rsidRDefault="002F68D5" w:rsidP="00B12CF9">
      <w:pPr>
        <w:rPr>
          <w:rFonts w:asciiTheme="minorHAnsi" w:hAnsiTheme="minorHAnsi" w:cstheme="minorHAnsi"/>
          <w:bCs/>
          <w:sz w:val="24"/>
          <w:szCs w:val="24"/>
        </w:rPr>
      </w:pPr>
      <w:r w:rsidRPr="002F68D5">
        <w:rPr>
          <w:rFonts w:asciiTheme="minorHAnsi" w:hAnsiTheme="minorHAnsi" w:cstheme="minorHAnsi"/>
          <w:bCs/>
          <w:sz w:val="24"/>
          <w:szCs w:val="24"/>
        </w:rPr>
        <w:t>The proposed slab roller must meet the following specifications. Please include any literature or brochures that demonstrate how the proposed equipment meets specifications.</w:t>
      </w:r>
    </w:p>
    <w:p w14:paraId="7B68EED7" w14:textId="651BEDBA" w:rsidR="00D42183" w:rsidRDefault="00D42183" w:rsidP="00D42183">
      <w:pPr>
        <w:pStyle w:val="ListParagraph"/>
        <w:numPr>
          <w:ilvl w:val="1"/>
          <w:numId w:val="10"/>
        </w:numPr>
        <w:rPr>
          <w:sz w:val="24"/>
        </w:rPr>
      </w:pPr>
      <w:r w:rsidRPr="00EF5FED">
        <w:rPr>
          <w:sz w:val="24"/>
        </w:rPr>
        <w:t xml:space="preserve">Slab roller must </w:t>
      </w:r>
      <w:r>
        <w:rPr>
          <w:sz w:val="24"/>
        </w:rPr>
        <w:t>include table -</w:t>
      </w:r>
      <w:r w:rsidRPr="00EF5FED">
        <w:rPr>
          <w:sz w:val="24"/>
        </w:rPr>
        <w:t>size of roughly 6 ft long</w:t>
      </w:r>
      <w:r>
        <w:rPr>
          <w:sz w:val="24"/>
        </w:rPr>
        <w:t xml:space="preserve"> between feed and outfeed areas of machine</w:t>
      </w:r>
      <w:r w:rsidRPr="00EF5FED">
        <w:rPr>
          <w:sz w:val="24"/>
        </w:rPr>
        <w:t xml:space="preserve"> to accommodate </w:t>
      </w:r>
      <w:r>
        <w:rPr>
          <w:sz w:val="24"/>
        </w:rPr>
        <w:t>making approximately 24 inch by 48-inch slabs (variance by 1-2 inches smaller or larger is fine)</w:t>
      </w:r>
    </w:p>
    <w:p w14:paraId="039FA505" w14:textId="42781DE3" w:rsidR="00D42183" w:rsidRDefault="00D42183" w:rsidP="00D42183">
      <w:pPr>
        <w:pStyle w:val="ListParagraph"/>
        <w:numPr>
          <w:ilvl w:val="1"/>
          <w:numId w:val="10"/>
        </w:numPr>
        <w:rPr>
          <w:sz w:val="24"/>
        </w:rPr>
      </w:pPr>
      <w:r>
        <w:rPr>
          <w:sz w:val="24"/>
        </w:rPr>
        <w:t>Must be gear reduced for ease of use by students.</w:t>
      </w:r>
    </w:p>
    <w:p w14:paraId="1E8A6E7C" w14:textId="75547770" w:rsidR="00D42183" w:rsidRDefault="00D42183" w:rsidP="00D42183">
      <w:pPr>
        <w:pStyle w:val="ListParagraph"/>
        <w:numPr>
          <w:ilvl w:val="1"/>
          <w:numId w:val="10"/>
        </w:numPr>
        <w:rPr>
          <w:sz w:val="24"/>
        </w:rPr>
      </w:pPr>
      <w:r>
        <w:rPr>
          <w:sz w:val="24"/>
        </w:rPr>
        <w:t>Must have slab height adjustment via knobs. Cannot require removal/addition of boards for slab height adjustment as need the machine accessible by a variety of users of differing physical abilities.</w:t>
      </w:r>
    </w:p>
    <w:p w14:paraId="4D46A95C" w14:textId="68BE2B3E" w:rsidR="00B12CF9" w:rsidRDefault="00D42183" w:rsidP="00B12CF9">
      <w:pPr>
        <w:pStyle w:val="ListParagraph"/>
        <w:numPr>
          <w:ilvl w:val="1"/>
          <w:numId w:val="10"/>
        </w:numPr>
        <w:rPr>
          <w:sz w:val="24"/>
        </w:rPr>
      </w:pPr>
      <w:r>
        <w:rPr>
          <w:sz w:val="24"/>
        </w:rPr>
        <w:t xml:space="preserve">Gears should ideally be metal not plastic for durability in a </w:t>
      </w:r>
      <w:r w:rsidR="00317120">
        <w:rPr>
          <w:sz w:val="24"/>
        </w:rPr>
        <w:t>high-volume</w:t>
      </w:r>
      <w:r>
        <w:rPr>
          <w:sz w:val="24"/>
        </w:rPr>
        <w:t xml:space="preserve"> studio.</w:t>
      </w:r>
    </w:p>
    <w:p w14:paraId="6E73AA6A" w14:textId="22412B20" w:rsidR="00640B47" w:rsidRDefault="002A2C06" w:rsidP="00640B47">
      <w:pPr>
        <w:rPr>
          <w:sz w:val="24"/>
        </w:rPr>
      </w:pPr>
      <w:r>
        <w:rPr>
          <w:sz w:val="24"/>
        </w:rPr>
        <w:t>List the</w:t>
      </w:r>
      <w:r w:rsidR="00640B47">
        <w:rPr>
          <w:sz w:val="24"/>
        </w:rPr>
        <w:t xml:space="preserve"> dimensions of </w:t>
      </w:r>
      <w:r w:rsidR="00317120">
        <w:rPr>
          <w:sz w:val="24"/>
        </w:rPr>
        <w:t>your</w:t>
      </w:r>
      <w:r w:rsidR="00D55FAF">
        <w:rPr>
          <w:sz w:val="24"/>
        </w:rPr>
        <w:t xml:space="preserve"> </w:t>
      </w:r>
      <w:r w:rsidR="000E3B76">
        <w:rPr>
          <w:sz w:val="24"/>
        </w:rPr>
        <w:t xml:space="preserve">proposed </w:t>
      </w:r>
      <w:r w:rsidR="00640B47">
        <w:rPr>
          <w:sz w:val="24"/>
        </w:rPr>
        <w:t xml:space="preserve">equipment and </w:t>
      </w:r>
      <w:r w:rsidR="00D55FAF">
        <w:rPr>
          <w:sz w:val="24"/>
        </w:rPr>
        <w:t xml:space="preserve">the </w:t>
      </w:r>
      <w:r w:rsidR="00640B47">
        <w:rPr>
          <w:sz w:val="24"/>
        </w:rPr>
        <w:t xml:space="preserve">thickness of slabs </w:t>
      </w:r>
      <w:r w:rsidR="00D55FAF">
        <w:rPr>
          <w:sz w:val="24"/>
        </w:rPr>
        <w:t xml:space="preserve">that the </w:t>
      </w:r>
      <w:r w:rsidR="00640B47">
        <w:rPr>
          <w:sz w:val="24"/>
        </w:rPr>
        <w:t>equipment is capable of</w:t>
      </w:r>
      <w:r w:rsidR="000E3B76">
        <w:rPr>
          <w:sz w:val="24"/>
        </w:rPr>
        <w:t xml:space="preserve"> below:  _____________________________________________________________________________</w:t>
      </w:r>
    </w:p>
    <w:p w14:paraId="204F3BB2" w14:textId="0FE01819" w:rsidR="000E3B76" w:rsidRDefault="000E3B76" w:rsidP="00640B47">
      <w:pPr>
        <w:rPr>
          <w:sz w:val="24"/>
        </w:rPr>
      </w:pPr>
      <w:r>
        <w:rPr>
          <w:sz w:val="24"/>
        </w:rPr>
        <w:t>_____________________________________________________________________________</w:t>
      </w:r>
    </w:p>
    <w:p w14:paraId="21A18F22" w14:textId="77777777" w:rsidR="000E3B76" w:rsidRDefault="000E3B76" w:rsidP="00640B47">
      <w:pPr>
        <w:rPr>
          <w:sz w:val="24"/>
        </w:rPr>
      </w:pPr>
    </w:p>
    <w:p w14:paraId="75009360" w14:textId="77777777" w:rsidR="000E3B76" w:rsidRDefault="000E3B76" w:rsidP="00640B47">
      <w:pPr>
        <w:rPr>
          <w:sz w:val="24"/>
        </w:rPr>
      </w:pPr>
    </w:p>
    <w:p w14:paraId="2D460BA5" w14:textId="77777777" w:rsidR="00E54184" w:rsidRPr="00640B47" w:rsidRDefault="00E54184" w:rsidP="00640B47">
      <w:pPr>
        <w:rPr>
          <w:sz w:val="24"/>
        </w:rPr>
      </w:pPr>
    </w:p>
    <w:p w14:paraId="2ADC0F3B" w14:textId="77777777" w:rsidR="00B12CF9" w:rsidRDefault="00B12CF9" w:rsidP="00B12CF9">
      <w:pPr>
        <w:pStyle w:val="NoSpacing"/>
        <w:rPr>
          <w:rFonts w:asciiTheme="minorHAnsi" w:hAnsiTheme="minorHAnsi" w:cstheme="minorHAnsi"/>
          <w:sz w:val="24"/>
          <w:szCs w:val="24"/>
        </w:rPr>
      </w:pPr>
    </w:p>
    <w:p w14:paraId="574117FC" w14:textId="77777777" w:rsidR="00B12CF9" w:rsidRPr="007566B7" w:rsidRDefault="007566B7" w:rsidP="007566B7">
      <w:pPr>
        <w:rPr>
          <w:b/>
          <w:u w:val="single"/>
        </w:rPr>
      </w:pPr>
      <w:r w:rsidRPr="007566B7">
        <w:rPr>
          <w:b/>
          <w:u w:val="single"/>
        </w:rPr>
        <w:lastRenderedPageBreak/>
        <w:t>Section D: Cost</w:t>
      </w:r>
    </w:p>
    <w:p w14:paraId="7741F84F"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38DFDFC4"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051D95DE" w14:textId="6CCAB700" w:rsidR="00D42183" w:rsidRPr="00EF5FED" w:rsidRDefault="00D42183" w:rsidP="00D42183">
      <w:pPr>
        <w:rPr>
          <w:sz w:val="24"/>
        </w:rPr>
      </w:pPr>
      <w:r w:rsidRPr="00EF5FED">
        <w:rPr>
          <w:sz w:val="24"/>
        </w:rPr>
        <w:t>Please include total cost of machine plus any shipping charges</w:t>
      </w:r>
      <w:r>
        <w:rPr>
          <w:sz w:val="24"/>
        </w:rPr>
        <w:t xml:space="preserve"> and estimated delivery date.  </w:t>
      </w:r>
    </w:p>
    <w:p w14:paraId="5B0B1287" w14:textId="5C23B481" w:rsidR="00D42183" w:rsidRPr="00EF5FED" w:rsidRDefault="00D42183" w:rsidP="00D42183">
      <w:pPr>
        <w:rPr>
          <w:sz w:val="24"/>
        </w:rPr>
      </w:pPr>
      <w:r w:rsidRPr="00EF5FED">
        <w:rPr>
          <w:sz w:val="24"/>
        </w:rPr>
        <w:t>Shipping address is</w:t>
      </w:r>
      <w:r>
        <w:rPr>
          <w:sz w:val="24"/>
        </w:rPr>
        <w:t>:</w:t>
      </w:r>
      <w:r w:rsidRPr="00EF5FED">
        <w:rPr>
          <w:sz w:val="24"/>
        </w:rPr>
        <w:t xml:space="preserve"> </w:t>
      </w:r>
    </w:p>
    <w:p w14:paraId="52D2BDAD" w14:textId="77777777" w:rsidR="00D42183" w:rsidRPr="00EF5FED" w:rsidRDefault="00D42183" w:rsidP="00D42183">
      <w:pPr>
        <w:spacing w:after="0"/>
        <w:rPr>
          <w:sz w:val="24"/>
        </w:rPr>
      </w:pPr>
      <w:r w:rsidRPr="00EF5FED">
        <w:rPr>
          <w:sz w:val="24"/>
        </w:rPr>
        <w:t>Univ.  of Tenn. School of Art</w:t>
      </w:r>
    </w:p>
    <w:p w14:paraId="79C3809E" w14:textId="77777777" w:rsidR="00D42183" w:rsidRPr="00EF5FED" w:rsidRDefault="00D42183" w:rsidP="00D42183">
      <w:pPr>
        <w:spacing w:after="0"/>
        <w:rPr>
          <w:sz w:val="24"/>
        </w:rPr>
      </w:pPr>
      <w:r w:rsidRPr="00EF5FED">
        <w:rPr>
          <w:sz w:val="24"/>
        </w:rPr>
        <w:t>1715 Volunteer BLVD</w:t>
      </w:r>
    </w:p>
    <w:p w14:paraId="5C2A2761" w14:textId="77777777" w:rsidR="00D42183" w:rsidRPr="00EF5FED" w:rsidRDefault="00D42183" w:rsidP="00D42183">
      <w:pPr>
        <w:spacing w:after="0"/>
        <w:rPr>
          <w:sz w:val="24"/>
        </w:rPr>
      </w:pPr>
      <w:r w:rsidRPr="00EF5FED">
        <w:rPr>
          <w:sz w:val="24"/>
        </w:rPr>
        <w:t>Art and Architecture BLDG: Rm 213</w:t>
      </w:r>
    </w:p>
    <w:p w14:paraId="5835A95A" w14:textId="77777777" w:rsidR="00D42183" w:rsidRPr="00EF5FED" w:rsidRDefault="00D42183" w:rsidP="00D42183">
      <w:pPr>
        <w:spacing w:after="0"/>
        <w:rPr>
          <w:sz w:val="24"/>
        </w:rPr>
      </w:pPr>
      <w:r w:rsidRPr="00EF5FED">
        <w:rPr>
          <w:sz w:val="24"/>
        </w:rPr>
        <w:t>Knoxville, TN 37916</w:t>
      </w:r>
    </w:p>
    <w:p w14:paraId="7F983FC9" w14:textId="77777777" w:rsidR="00B12CF9" w:rsidRDefault="00B12CF9" w:rsidP="00B12CF9">
      <w:pPr>
        <w:pStyle w:val="NoSpacing"/>
        <w:rPr>
          <w:rFonts w:asciiTheme="minorHAnsi" w:hAnsiTheme="minorHAnsi" w:cstheme="minorHAnsi"/>
          <w:sz w:val="24"/>
          <w:szCs w:val="24"/>
        </w:rPr>
      </w:pPr>
    </w:p>
    <w:p w14:paraId="0ED3FD34" w14:textId="77777777" w:rsidR="00B12CF9" w:rsidRDefault="00B12CF9" w:rsidP="00B12CF9">
      <w:pPr>
        <w:pStyle w:val="NoSpacing"/>
        <w:rPr>
          <w:rFonts w:asciiTheme="minorHAnsi" w:hAnsiTheme="minorHAnsi" w:cstheme="minorHAnsi"/>
          <w:sz w:val="24"/>
          <w:szCs w:val="24"/>
        </w:rPr>
      </w:pPr>
    </w:p>
    <w:p w14:paraId="75A57F0A" w14:textId="77777777" w:rsidR="00B12CF9" w:rsidRDefault="00B12CF9" w:rsidP="00B12CF9">
      <w:pPr>
        <w:pStyle w:val="NoSpacing"/>
        <w:rPr>
          <w:rFonts w:asciiTheme="minorHAnsi" w:hAnsiTheme="minorHAnsi" w:cstheme="minorHAnsi"/>
          <w:sz w:val="24"/>
          <w:szCs w:val="24"/>
        </w:rPr>
      </w:pPr>
    </w:p>
    <w:p w14:paraId="6907A9F3" w14:textId="77777777" w:rsidR="00166E5E" w:rsidRDefault="00166E5E" w:rsidP="00B12CF9">
      <w:pPr>
        <w:pStyle w:val="NoSpacing"/>
        <w:rPr>
          <w:rFonts w:asciiTheme="minorHAnsi" w:hAnsiTheme="minorHAnsi" w:cstheme="minorHAnsi"/>
          <w:sz w:val="24"/>
          <w:szCs w:val="24"/>
        </w:rPr>
      </w:pPr>
    </w:p>
    <w:p w14:paraId="660FD147" w14:textId="77777777" w:rsidR="00166E5E" w:rsidRDefault="00166E5E" w:rsidP="00B12CF9">
      <w:pPr>
        <w:pStyle w:val="NoSpacing"/>
        <w:rPr>
          <w:rFonts w:asciiTheme="minorHAnsi" w:hAnsiTheme="minorHAnsi" w:cstheme="minorHAnsi"/>
          <w:sz w:val="24"/>
          <w:szCs w:val="24"/>
        </w:rPr>
      </w:pPr>
    </w:p>
    <w:p w14:paraId="07DC7041" w14:textId="77777777" w:rsidR="00166E5E" w:rsidRDefault="00166E5E" w:rsidP="00B12CF9">
      <w:pPr>
        <w:pStyle w:val="NoSpacing"/>
        <w:rPr>
          <w:rFonts w:asciiTheme="minorHAnsi" w:hAnsiTheme="minorHAnsi" w:cstheme="minorHAnsi"/>
          <w:sz w:val="24"/>
          <w:szCs w:val="24"/>
        </w:rPr>
      </w:pPr>
    </w:p>
    <w:p w14:paraId="2ECB30D3" w14:textId="77777777" w:rsidR="00166E5E" w:rsidRDefault="00166E5E" w:rsidP="00B12CF9">
      <w:pPr>
        <w:pStyle w:val="NoSpacing"/>
        <w:rPr>
          <w:rFonts w:asciiTheme="minorHAnsi" w:hAnsiTheme="minorHAnsi" w:cstheme="minorHAnsi"/>
          <w:sz w:val="24"/>
          <w:szCs w:val="24"/>
        </w:rPr>
      </w:pPr>
    </w:p>
    <w:p w14:paraId="441CE5DE" w14:textId="77777777" w:rsidR="00166E5E" w:rsidRDefault="00166E5E" w:rsidP="00B12CF9">
      <w:pPr>
        <w:pStyle w:val="NoSpacing"/>
        <w:rPr>
          <w:rFonts w:asciiTheme="minorHAnsi" w:hAnsiTheme="minorHAnsi" w:cstheme="minorHAnsi"/>
          <w:sz w:val="24"/>
          <w:szCs w:val="24"/>
        </w:rPr>
      </w:pPr>
    </w:p>
    <w:p w14:paraId="23AB5FF9" w14:textId="77777777" w:rsidR="00A94B73" w:rsidRDefault="00A94B73">
      <w:pPr>
        <w:spacing w:after="160" w:line="259" w:lineRule="auto"/>
      </w:pPr>
      <w:r>
        <w:br w:type="page"/>
      </w:r>
    </w:p>
    <w:p w14:paraId="008DA3A2" w14:textId="77777777" w:rsidR="00B12CF9" w:rsidRPr="00B120EB" w:rsidRDefault="00B12CF9" w:rsidP="00B12CF9">
      <w:pPr>
        <w:pStyle w:val="Title"/>
        <w:jc w:val="center"/>
        <w:rPr>
          <w:rStyle w:val="Strong"/>
          <w:b w:val="0"/>
          <w:bCs w:val="0"/>
          <w:sz w:val="44"/>
        </w:rPr>
      </w:pPr>
      <w:r>
        <w:rPr>
          <w:rStyle w:val="Strong"/>
          <w:sz w:val="36"/>
        </w:rPr>
        <w:lastRenderedPageBreak/>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r w:rsidR="007B7190">
        <w:rPr>
          <w:rStyle w:val="Strong"/>
          <w:sz w:val="36"/>
        </w:rPr>
        <w:t>4.</w:t>
      </w:r>
      <w:r w:rsidR="00F96F76">
        <w:rPr>
          <w:rStyle w:val="Strong"/>
          <w:sz w:val="36"/>
        </w:rPr>
        <w:t>2</w:t>
      </w:r>
    </w:p>
    <w:p w14:paraId="54CB3EF7"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143B5DA8"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44849F64"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electronically, unless the University specifies otherwise.  It is the respondent’s responsibility to ensure that its bid is submitted in the University’s electronic software purchasing system before the applicable deadline. Assistance for submitting bids can be obtained through our third party provider ESM Solutions’ Customer Support at 1-877-969-7246 or at </w:t>
      </w:r>
      <w:hyperlink r:id="rId10"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2EE3A35C"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6DFEC6B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6219CFC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bidders, unless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13446D1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4319F1D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55604AF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6A2952A7"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4E54B7D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231DB7E1"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4624077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6F3FE43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0123908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4C6BCCC7"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By responding to the solicitation, respondent hereby irrevocably waives any claims against the University’s trustees, officers, employees and former employees. Respondent also agrees not to sue University employees in their individual capacity. This waiver applies to respondent and their successors, heirs and assigns. The University and the respondent state that this clause is material to this bid.</w:t>
      </w:r>
    </w:p>
    <w:p w14:paraId="5E9BCA4E"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19ACF9BD"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1BF5949D"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No funds resulting from this award will be paid either directly or indirectly to any University employees, their spouses or dependent children. This prohibition applies for up to six months after they terminate their employment with the University.</w:t>
      </w:r>
    </w:p>
    <w:p w14:paraId="3753136B"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091CB52F"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2D5F803A"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43C6F4BB"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42A78499"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lastRenderedPageBreak/>
        <w:t>TERMS THAT GOVERN THE BID EVALUATION PROCESS</w:t>
      </w:r>
    </w:p>
    <w:p w14:paraId="2F96B32E"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4364BE22"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ADEF0B4"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25C4CE68"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0A2F3B49"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51020848"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560484CD"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1"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066793BA" w14:textId="77777777" w:rsidR="00F96F76" w:rsidRDefault="00F96F76" w:rsidP="00F96F76">
      <w:pPr>
        <w:spacing w:before="100" w:beforeAutospacing="1" w:after="100" w:afterAutospacing="1" w:line="240" w:lineRule="auto"/>
        <w:rPr>
          <w:rFonts w:eastAsia="Times New Roman" w:cs="Calibri"/>
          <w:b/>
          <w:bCs/>
          <w:sz w:val="24"/>
          <w:szCs w:val="24"/>
        </w:rPr>
      </w:pPr>
    </w:p>
    <w:p w14:paraId="4E9B0596" w14:textId="77777777" w:rsidR="00F96F76" w:rsidRDefault="00F96F76" w:rsidP="00F96F76">
      <w:pPr>
        <w:spacing w:before="100" w:beforeAutospacing="1" w:after="100" w:afterAutospacing="1" w:line="240" w:lineRule="auto"/>
        <w:rPr>
          <w:rFonts w:eastAsia="Times New Roman" w:cs="Calibri"/>
          <w:b/>
          <w:bCs/>
          <w:sz w:val="24"/>
          <w:szCs w:val="24"/>
        </w:rPr>
      </w:pPr>
    </w:p>
    <w:p w14:paraId="2C321C1E"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196D6F76"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The terms below govern any purchase order that the University issues, unless the University includes different terms with its purchase order.  The terms attached to any University purchase order entirely replace the terms below.</w:t>
      </w:r>
    </w:p>
    <w:p w14:paraId="1659BD10"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lastRenderedPageBreak/>
        <w:t>Additional Goods or Services</w:t>
      </w:r>
      <w:r w:rsidRPr="00716675">
        <w:rPr>
          <w:rStyle w:val="Strong"/>
          <w:rFonts w:cstheme="minorHAnsi"/>
          <w:sz w:val="24"/>
          <w:szCs w:val="24"/>
        </w:rPr>
        <w:t>:</w:t>
      </w:r>
      <w:r w:rsidRPr="00716675">
        <w:t xml:space="preserve"> The parties may mutually agree to add additional goods or services from Supplier</w:t>
      </w:r>
    </w:p>
    <w:p w14:paraId="0BB6D553"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002281B6"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46D6CB34"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393E6A8D"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2A8A713A"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1C2674EC"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0A6033B7"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4 business day period, the University may reject any goods without penalty by providing Supplier notice.   </w:t>
      </w:r>
    </w:p>
    <w:p w14:paraId="27ACACE1"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2670EC76"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552C3199"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1B77A668"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5837A5DE"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69E3176D"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4806B260"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43F5D76E"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xml:space="preserve">: During the term of this agreement and for 3 years after the last payment from the University to Supplier under this agreement, the State of Tennessee </w:t>
      </w:r>
      <w:r w:rsidRPr="00716675">
        <w:rPr>
          <w:rFonts w:eastAsia="Times New Roman" w:cs="Calibri"/>
          <w:sz w:val="24"/>
          <w:szCs w:val="24"/>
        </w:rPr>
        <w:lastRenderedPageBreak/>
        <w:t>Comptroller or the University’s internal audit, or both, may audit Supplier’s records that relate to this agreement.</w:t>
      </w:r>
    </w:p>
    <w:p w14:paraId="49566689"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12A86BDD"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623ECBCF"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1E1DABD4"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73559F82"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36D5209C"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Supplier hereby states that it is not currently engaged in, and will not for the duration of this Agreement engage in, a boycott of Israel.</w:t>
      </w:r>
    </w:p>
    <w:p w14:paraId="2950C72E"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1AF606A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6B691CF0"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3A8803D8"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0F085B99"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4EAEC629"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1F4FAF9"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4E4CE165"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766FCFB5"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lastRenderedPageBreak/>
        <w:t>No Automatic Renewal</w:t>
      </w:r>
      <w:r w:rsidRPr="00716675">
        <w:rPr>
          <w:rFonts w:cstheme="minorHAnsi"/>
          <w:bCs/>
          <w:sz w:val="24"/>
        </w:rPr>
        <w:t>: Any terms included in Supplier’s documentation that attempt to renew the agreement automatically do not apply to the University.</w:t>
      </w:r>
    </w:p>
    <w:p w14:paraId="3A8041CC"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65691070"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0AA89705"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00B657BD"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6E50949F"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246282FD"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7247E03A"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4A71F360"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This agreement constitutes the entire understanding between the parties with respect to the subject matter of this agreement and supersedes all other agreements, whether written or oral, between the parties.  In the event that Supplier maintains terms and conditions on its website, software, invoices, etc., such terms and conditions do not apply to the University.</w:t>
      </w:r>
    </w:p>
    <w:p w14:paraId="10928FB5"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619FC075"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48A74110"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5377E69E"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named as an “excluded” supplier by the U.S. federal government</w:t>
      </w:r>
    </w:p>
    <w:p w14:paraId="39D71324"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0B061A75"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0431ADD5"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00E6881E"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2700A22B"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w:t>
      </w:r>
      <w:r w:rsidRPr="00716675">
        <w:rPr>
          <w:rFonts w:cstheme="minorHAnsi"/>
          <w:sz w:val="24"/>
          <w:szCs w:val="24"/>
        </w:rPr>
        <w:lastRenderedPageBreak/>
        <w:t>agent, employee, subcontractor, or consultant to the Supplier in connection with any work contemplated or performed under this Agreement.</w:t>
      </w:r>
    </w:p>
    <w:p w14:paraId="5E5A1919"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4181B261"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Background Checks, Premise Rules and Conduct:</w:t>
      </w:r>
      <w:r>
        <w:rPr>
          <w:rFonts w:cstheme="minorHAnsi"/>
          <w:b/>
          <w:sz w:val="24"/>
          <w:szCs w:val="24"/>
          <w:u w:val="single"/>
        </w:rPr>
        <w:t xml:space="preserve"> </w:t>
      </w:r>
    </w:p>
    <w:p w14:paraId="27A510C0"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0280639B"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University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1279DA39"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67B576ED"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When Supplier is physically present on University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37A0581C"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Supplier will 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1D61073C" w14:textId="77777777" w:rsidR="00FC1C04" w:rsidRDefault="00FC1C04"/>
    <w:sectPr w:rsidR="00FC1C04" w:rsidSect="004C4B49">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A626" w14:textId="77777777" w:rsidR="004C4B49" w:rsidRDefault="004C4B49" w:rsidP="00B12CF9">
      <w:pPr>
        <w:spacing w:after="0" w:line="240" w:lineRule="auto"/>
      </w:pPr>
      <w:r>
        <w:separator/>
      </w:r>
    </w:p>
  </w:endnote>
  <w:endnote w:type="continuationSeparator" w:id="0">
    <w:p w14:paraId="738D9992" w14:textId="77777777" w:rsidR="004C4B49" w:rsidRDefault="004C4B49"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33AD3CBE"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18002190"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12BD" w14:textId="77777777" w:rsidR="004C4B49" w:rsidRDefault="004C4B49" w:rsidP="00B12CF9">
      <w:pPr>
        <w:spacing w:after="0" w:line="240" w:lineRule="auto"/>
      </w:pPr>
      <w:r>
        <w:separator/>
      </w:r>
    </w:p>
  </w:footnote>
  <w:footnote w:type="continuationSeparator" w:id="0">
    <w:p w14:paraId="1C5D7A89" w14:textId="77777777" w:rsidR="004C4B49" w:rsidRDefault="004C4B49"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9FE9"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D576"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71BA3C3B" wp14:editId="10A5A164">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B2E59"/>
    <w:multiLevelType w:val="hybridMultilevel"/>
    <w:tmpl w:val="CC54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8B3DF2"/>
    <w:multiLevelType w:val="hybridMultilevel"/>
    <w:tmpl w:val="ED020BF6"/>
    <w:lvl w:ilvl="0" w:tplc="04090019">
      <w:start w:val="1"/>
      <w:numFmt w:val="lowerLetter"/>
      <w:lvlText w:val="%1."/>
      <w:lvlJc w:val="left"/>
      <w:pPr>
        <w:ind w:left="720" w:hanging="360"/>
      </w:pPr>
      <w:rPr>
        <w:rFonts w:hint="default"/>
        <w:b w:val="0"/>
      </w:rPr>
    </w:lvl>
    <w:lvl w:ilvl="1" w:tplc="07744C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8"/>
  </w:num>
  <w:num w:numId="3" w16cid:durableId="1531801586">
    <w:abstractNumId w:val="7"/>
  </w:num>
  <w:num w:numId="4" w16cid:durableId="437411618">
    <w:abstractNumId w:val="0"/>
  </w:num>
  <w:num w:numId="5" w16cid:durableId="978339185">
    <w:abstractNumId w:val="6"/>
  </w:num>
  <w:num w:numId="6" w16cid:durableId="1531606179">
    <w:abstractNumId w:val="4"/>
  </w:num>
  <w:num w:numId="7" w16cid:durableId="1067414851">
    <w:abstractNumId w:val="2"/>
  </w:num>
  <w:num w:numId="8" w16cid:durableId="562839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239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7303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B9"/>
    <w:rsid w:val="0000199C"/>
    <w:rsid w:val="00004B83"/>
    <w:rsid w:val="00005253"/>
    <w:rsid w:val="0005268C"/>
    <w:rsid w:val="00075E3A"/>
    <w:rsid w:val="000966AC"/>
    <w:rsid w:val="000A6695"/>
    <w:rsid w:val="000E3B76"/>
    <w:rsid w:val="0012225E"/>
    <w:rsid w:val="00143985"/>
    <w:rsid w:val="00166E5E"/>
    <w:rsid w:val="00176A36"/>
    <w:rsid w:val="001C6DCB"/>
    <w:rsid w:val="002057D6"/>
    <w:rsid w:val="002435FB"/>
    <w:rsid w:val="0024554B"/>
    <w:rsid w:val="00247F64"/>
    <w:rsid w:val="0025419D"/>
    <w:rsid w:val="00292BF2"/>
    <w:rsid w:val="00295C33"/>
    <w:rsid w:val="002A2C06"/>
    <w:rsid w:val="002E01C5"/>
    <w:rsid w:val="002F68D5"/>
    <w:rsid w:val="00317120"/>
    <w:rsid w:val="0034310C"/>
    <w:rsid w:val="00354F23"/>
    <w:rsid w:val="00383E99"/>
    <w:rsid w:val="00383F2C"/>
    <w:rsid w:val="003F7FEA"/>
    <w:rsid w:val="00400541"/>
    <w:rsid w:val="004471EF"/>
    <w:rsid w:val="00475FA5"/>
    <w:rsid w:val="004852B2"/>
    <w:rsid w:val="004A5C8D"/>
    <w:rsid w:val="004B5675"/>
    <w:rsid w:val="004C4B49"/>
    <w:rsid w:val="0050086F"/>
    <w:rsid w:val="00506B3E"/>
    <w:rsid w:val="005E1D73"/>
    <w:rsid w:val="00606722"/>
    <w:rsid w:val="00612B96"/>
    <w:rsid w:val="00634A7F"/>
    <w:rsid w:val="00640B47"/>
    <w:rsid w:val="00652978"/>
    <w:rsid w:val="00664E61"/>
    <w:rsid w:val="00677D50"/>
    <w:rsid w:val="006C4832"/>
    <w:rsid w:val="006F2077"/>
    <w:rsid w:val="006F68F3"/>
    <w:rsid w:val="006F726A"/>
    <w:rsid w:val="006F7BFF"/>
    <w:rsid w:val="00712784"/>
    <w:rsid w:val="00713797"/>
    <w:rsid w:val="0072348B"/>
    <w:rsid w:val="007438FD"/>
    <w:rsid w:val="007566B7"/>
    <w:rsid w:val="007640CD"/>
    <w:rsid w:val="00766A49"/>
    <w:rsid w:val="00780824"/>
    <w:rsid w:val="00781CC3"/>
    <w:rsid w:val="007B185F"/>
    <w:rsid w:val="007B22C4"/>
    <w:rsid w:val="007B7190"/>
    <w:rsid w:val="007E6A2A"/>
    <w:rsid w:val="00807799"/>
    <w:rsid w:val="00823436"/>
    <w:rsid w:val="008544C1"/>
    <w:rsid w:val="008712B9"/>
    <w:rsid w:val="00897F84"/>
    <w:rsid w:val="008A3B7D"/>
    <w:rsid w:val="008D1923"/>
    <w:rsid w:val="008E5C37"/>
    <w:rsid w:val="0090243F"/>
    <w:rsid w:val="00963BB0"/>
    <w:rsid w:val="00977EE4"/>
    <w:rsid w:val="00991A42"/>
    <w:rsid w:val="00994C6A"/>
    <w:rsid w:val="00A16C57"/>
    <w:rsid w:val="00A5465F"/>
    <w:rsid w:val="00A730E2"/>
    <w:rsid w:val="00A94B73"/>
    <w:rsid w:val="00AA1657"/>
    <w:rsid w:val="00B12CF9"/>
    <w:rsid w:val="00B52477"/>
    <w:rsid w:val="00B54D05"/>
    <w:rsid w:val="00B816FC"/>
    <w:rsid w:val="00B83BE0"/>
    <w:rsid w:val="00BE2F84"/>
    <w:rsid w:val="00C04F05"/>
    <w:rsid w:val="00C33296"/>
    <w:rsid w:val="00C359D3"/>
    <w:rsid w:val="00C658A7"/>
    <w:rsid w:val="00C84550"/>
    <w:rsid w:val="00CF277E"/>
    <w:rsid w:val="00D2504E"/>
    <w:rsid w:val="00D42183"/>
    <w:rsid w:val="00D44BCD"/>
    <w:rsid w:val="00D55FAF"/>
    <w:rsid w:val="00DA320C"/>
    <w:rsid w:val="00DE30DA"/>
    <w:rsid w:val="00DE414B"/>
    <w:rsid w:val="00DF6426"/>
    <w:rsid w:val="00E15D19"/>
    <w:rsid w:val="00E218E1"/>
    <w:rsid w:val="00E33495"/>
    <w:rsid w:val="00E36BFF"/>
    <w:rsid w:val="00E54184"/>
    <w:rsid w:val="00EA79B2"/>
    <w:rsid w:val="00F96F76"/>
    <w:rsid w:val="00FA1192"/>
    <w:rsid w:val="00FB1380"/>
    <w:rsid w:val="00FC1C04"/>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C998"/>
  <w15:chartTrackingRefBased/>
  <w15:docId w15:val="{988EF5B8-9127-4268-8042-173BF78D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 w:id="18550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y.tennessee.edu/fiscal_policy/fi040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esm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rtin1\OneDrive%20-%20University%20of%20Tennessee\Desktop\RFQpottery.3938115\RFQ_Template_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Props1.xml><?xml version="1.0" encoding="utf-8"?>
<ds:datastoreItem xmlns:ds="http://schemas.openxmlformats.org/officeDocument/2006/customXml" ds:itemID="{933DBBB4-DC17-441B-B417-4D7CECD3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3.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docProps/app.xml><?xml version="1.0" encoding="utf-8"?>
<Properties xmlns="http://schemas.openxmlformats.org/officeDocument/2006/extended-properties" xmlns:vt="http://schemas.openxmlformats.org/officeDocument/2006/docPropsVTypes">
  <Template>RFQ_Template_2.25</Template>
  <TotalTime>78</TotalTime>
  <Pages>13</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Sartin, Tonya</dc:creator>
  <cp:keywords/>
  <dc:description/>
  <cp:lastModifiedBy>Sartin, Tonya</cp:lastModifiedBy>
  <cp:revision>21</cp:revision>
  <cp:lastPrinted>2020-01-24T15:50:00Z</cp:lastPrinted>
  <dcterms:created xsi:type="dcterms:W3CDTF">2024-04-18T20:11:00Z</dcterms:created>
  <dcterms:modified xsi:type="dcterms:W3CDTF">2024-04-19T13:11:00Z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296200</vt:r8>
  </property>
  <property fmtid="{D5CDD505-2E9C-101B-9397-08002B2CF9AE}" pid="4" name="MediaServiceImageTags">
    <vt:lpwstr/>
  </property>
</Properties>
</file>