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B2FB"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4CD212DC"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322A6D4C" w14:textId="77777777" w:rsidR="00B12CF9" w:rsidRPr="00EF46A2" w:rsidRDefault="00B12CF9" w:rsidP="00B12CF9">
      <w:pPr>
        <w:rPr>
          <w:rFonts w:asciiTheme="minorHAnsi" w:eastAsia="Times New Roman" w:hAnsiTheme="minorHAnsi" w:cs="Arial"/>
          <w:b/>
          <w:sz w:val="36"/>
          <w:szCs w:val="44"/>
        </w:rPr>
      </w:pPr>
    </w:p>
    <w:p w14:paraId="20AFBB40" w14:textId="77777777" w:rsidR="00B12CF9" w:rsidRPr="00EF46A2" w:rsidRDefault="00B12CF9" w:rsidP="00B12CF9">
      <w:pPr>
        <w:jc w:val="center"/>
        <w:rPr>
          <w:rFonts w:asciiTheme="minorHAnsi" w:eastAsia="Times New Roman" w:hAnsiTheme="minorHAnsi" w:cs="Arial"/>
          <w:b/>
          <w:sz w:val="36"/>
          <w:szCs w:val="44"/>
        </w:rPr>
      </w:pPr>
    </w:p>
    <w:p w14:paraId="10AF5A66"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D46B86" w14:paraId="78F944A3" w14:textId="77777777" w:rsidTr="005C0715">
        <w:tc>
          <w:tcPr>
            <w:tcW w:w="3325" w:type="dxa"/>
            <w:shd w:val="clear" w:color="auto" w:fill="F2F2F2" w:themeFill="background1" w:themeFillShade="F2"/>
          </w:tcPr>
          <w:p w14:paraId="322BADDB" w14:textId="54C6A541"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50B98A3E" w14:textId="3EDE5DAD" w:rsidR="00D46B86" w:rsidRPr="008E5C37" w:rsidRDefault="00D46B86" w:rsidP="00D46B86">
            <w:pPr>
              <w:rPr>
                <w:rFonts w:asciiTheme="minorHAnsi" w:eastAsia="Times New Roman" w:hAnsiTheme="minorHAnsi" w:cs="Arial"/>
                <w:sz w:val="28"/>
                <w:szCs w:val="44"/>
              </w:rPr>
            </w:pPr>
            <w:bookmarkStart w:id="0" w:name="OLE_LINK1"/>
            <w:r>
              <w:rPr>
                <w:rFonts w:asciiTheme="minorHAnsi" w:eastAsia="Times New Roman" w:hAnsiTheme="minorHAnsi" w:cs="Arial"/>
                <w:sz w:val="28"/>
                <w:szCs w:val="44"/>
              </w:rPr>
              <w:t>RFP 3885246</w:t>
            </w:r>
            <w:r w:rsidR="00EF5C82">
              <w:rPr>
                <w:rFonts w:asciiTheme="minorHAnsi" w:eastAsia="Times New Roman" w:hAnsiTheme="minorHAnsi" w:cs="Arial"/>
                <w:sz w:val="28"/>
                <w:szCs w:val="44"/>
              </w:rPr>
              <w:t xml:space="preserve"> (Rebid)</w:t>
            </w:r>
            <w:r>
              <w:rPr>
                <w:rFonts w:asciiTheme="minorHAnsi" w:eastAsia="Times New Roman" w:hAnsiTheme="minorHAnsi" w:cs="Arial"/>
                <w:sz w:val="28"/>
                <w:szCs w:val="44"/>
              </w:rPr>
              <w:t>: UTK South Greenhouse Shade Curtain Replacement</w:t>
            </w:r>
            <w:bookmarkEnd w:id="0"/>
          </w:p>
        </w:tc>
      </w:tr>
      <w:tr w:rsidR="00D46B86" w14:paraId="00D2EEA1" w14:textId="77777777" w:rsidTr="005C0715">
        <w:tc>
          <w:tcPr>
            <w:tcW w:w="3325" w:type="dxa"/>
            <w:shd w:val="clear" w:color="auto" w:fill="F2F2F2" w:themeFill="background1" w:themeFillShade="F2"/>
          </w:tcPr>
          <w:p w14:paraId="0DCB126F" w14:textId="520BF96F"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428EF17C" w14:textId="10CB47FC" w:rsidR="00D46B86" w:rsidRPr="008E5C37" w:rsidRDefault="00D46B86" w:rsidP="00D46B86">
            <w:pPr>
              <w:rPr>
                <w:rFonts w:asciiTheme="minorHAnsi" w:eastAsia="Times New Roman" w:hAnsiTheme="minorHAnsi" w:cs="Arial"/>
                <w:sz w:val="28"/>
                <w:szCs w:val="44"/>
              </w:rPr>
            </w:pPr>
            <w:r>
              <w:rPr>
                <w:rFonts w:asciiTheme="minorHAnsi" w:eastAsia="Times New Roman" w:hAnsiTheme="minorHAnsi" w:cs="Arial"/>
                <w:sz w:val="28"/>
                <w:szCs w:val="44"/>
              </w:rPr>
              <w:t>3885246-Roberts</w:t>
            </w:r>
          </w:p>
        </w:tc>
      </w:tr>
      <w:tr w:rsidR="00D46B86" w14:paraId="276B169C" w14:textId="77777777" w:rsidTr="005C0715">
        <w:tc>
          <w:tcPr>
            <w:tcW w:w="3325" w:type="dxa"/>
            <w:shd w:val="clear" w:color="auto" w:fill="F2F2F2" w:themeFill="background1" w:themeFillShade="F2"/>
          </w:tcPr>
          <w:p w14:paraId="37193C07" w14:textId="306D00E6"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E20B275" w14:textId="193335D1" w:rsidR="00D46B86" w:rsidRPr="008E5C37" w:rsidRDefault="007E0B85" w:rsidP="00D46B86">
            <w:pPr>
              <w:rPr>
                <w:rFonts w:asciiTheme="minorHAnsi" w:eastAsia="Times New Roman" w:hAnsiTheme="minorHAnsi" w:cs="Arial"/>
                <w:sz w:val="28"/>
                <w:szCs w:val="44"/>
              </w:rPr>
            </w:pPr>
            <w:r>
              <w:rPr>
                <w:rFonts w:asciiTheme="minorHAnsi" w:eastAsia="Times New Roman" w:hAnsiTheme="minorHAnsi" w:cs="Arial"/>
                <w:sz w:val="28"/>
                <w:szCs w:val="44"/>
              </w:rPr>
              <w:t xml:space="preserve">April 25,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w:t>
            </w:r>
          </w:p>
        </w:tc>
      </w:tr>
      <w:tr w:rsidR="00D46B86" w14:paraId="4D482519" w14:textId="77777777" w:rsidTr="005C0715">
        <w:tc>
          <w:tcPr>
            <w:tcW w:w="3325" w:type="dxa"/>
            <w:shd w:val="clear" w:color="auto" w:fill="F2F2F2" w:themeFill="background1" w:themeFillShade="F2"/>
          </w:tcPr>
          <w:p w14:paraId="524F2BEC" w14:textId="60C84EC5"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4254E0FD" w14:textId="6246EDA7" w:rsidR="00D46B86" w:rsidRPr="008E5C37" w:rsidRDefault="007E0B85" w:rsidP="00D46B86">
            <w:pPr>
              <w:rPr>
                <w:rFonts w:asciiTheme="minorHAnsi" w:eastAsia="Times New Roman" w:hAnsiTheme="minorHAnsi" w:cs="Arial"/>
                <w:sz w:val="28"/>
                <w:szCs w:val="44"/>
              </w:rPr>
            </w:pPr>
            <w:r>
              <w:rPr>
                <w:rFonts w:asciiTheme="minorHAnsi" w:eastAsia="Times New Roman" w:hAnsiTheme="minorHAnsi" w:cs="Arial"/>
                <w:sz w:val="28"/>
                <w:szCs w:val="44"/>
              </w:rPr>
              <w:t xml:space="preserve">May </w:t>
            </w:r>
            <w:r w:rsidR="00175F43">
              <w:rPr>
                <w:rFonts w:asciiTheme="minorHAnsi" w:eastAsia="Times New Roman" w:hAnsiTheme="minorHAnsi" w:cs="Arial"/>
                <w:sz w:val="28"/>
                <w:szCs w:val="44"/>
              </w:rPr>
              <w:t>2</w:t>
            </w:r>
            <w:r w:rsidR="00D46B86">
              <w:rPr>
                <w:rFonts w:asciiTheme="minorHAnsi" w:eastAsia="Times New Roman" w:hAnsiTheme="minorHAnsi" w:cs="Arial"/>
                <w:sz w:val="28"/>
                <w:szCs w:val="44"/>
              </w:rPr>
              <w:t xml:space="preserve">, </w:t>
            </w:r>
            <w:proofErr w:type="gramStart"/>
            <w:r w:rsidR="00D46B86">
              <w:rPr>
                <w:rFonts w:asciiTheme="minorHAnsi" w:eastAsia="Times New Roman" w:hAnsiTheme="minorHAnsi" w:cs="Arial"/>
                <w:sz w:val="28"/>
                <w:szCs w:val="44"/>
              </w:rPr>
              <w:t>2024</w:t>
            </w:r>
            <w:proofErr w:type="gramEnd"/>
            <w:r w:rsidR="00D46B86">
              <w:rPr>
                <w:rFonts w:asciiTheme="minorHAnsi" w:eastAsia="Times New Roman" w:hAnsiTheme="minorHAnsi" w:cs="Arial"/>
                <w:sz w:val="28"/>
                <w:szCs w:val="44"/>
              </w:rPr>
              <w:t xml:space="preserve"> at 2:00 PM EST</w:t>
            </w:r>
          </w:p>
        </w:tc>
      </w:tr>
    </w:tbl>
    <w:p w14:paraId="63C40C18"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7310D0A7"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071C81D1" w14:textId="77777777" w:rsidTr="005C0715">
        <w:tc>
          <w:tcPr>
            <w:tcW w:w="3325" w:type="dxa"/>
            <w:shd w:val="clear" w:color="auto" w:fill="F2F2F2" w:themeFill="background1" w:themeFillShade="F2"/>
          </w:tcPr>
          <w:p w14:paraId="672191FF"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DEAE33E" w14:textId="77777777" w:rsidR="00B12CF9" w:rsidRPr="008E5C37" w:rsidRDefault="00B12CF9" w:rsidP="005C0715">
            <w:pPr>
              <w:rPr>
                <w:rFonts w:asciiTheme="minorHAnsi" w:eastAsia="Times New Roman" w:hAnsiTheme="minorHAnsi" w:cs="Arial"/>
                <w:sz w:val="36"/>
                <w:szCs w:val="44"/>
              </w:rPr>
            </w:pPr>
          </w:p>
        </w:tc>
      </w:tr>
      <w:tr w:rsidR="00B12CF9" w14:paraId="581D1746" w14:textId="77777777" w:rsidTr="005C0715">
        <w:tc>
          <w:tcPr>
            <w:tcW w:w="3325" w:type="dxa"/>
            <w:shd w:val="clear" w:color="auto" w:fill="F2F2F2" w:themeFill="background1" w:themeFillShade="F2"/>
          </w:tcPr>
          <w:p w14:paraId="6BACDC8E"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196252D" w14:textId="77777777" w:rsidR="00B12CF9" w:rsidRPr="008E5C37" w:rsidRDefault="00B12CF9" w:rsidP="005C0715">
            <w:pPr>
              <w:rPr>
                <w:rFonts w:asciiTheme="minorHAnsi" w:eastAsia="Times New Roman" w:hAnsiTheme="minorHAnsi" w:cs="Arial"/>
                <w:sz w:val="36"/>
                <w:szCs w:val="44"/>
              </w:rPr>
            </w:pPr>
          </w:p>
        </w:tc>
      </w:tr>
      <w:tr w:rsidR="00B12CF9" w14:paraId="7C86CFBB" w14:textId="77777777" w:rsidTr="005C0715">
        <w:tc>
          <w:tcPr>
            <w:tcW w:w="3325" w:type="dxa"/>
            <w:shd w:val="clear" w:color="auto" w:fill="F2F2F2" w:themeFill="background1" w:themeFillShade="F2"/>
          </w:tcPr>
          <w:p w14:paraId="6F12AFCB"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AEEF702" w14:textId="77777777" w:rsidR="00B12CF9" w:rsidRPr="008E5C37" w:rsidRDefault="00B12CF9" w:rsidP="005C0715">
            <w:pPr>
              <w:rPr>
                <w:rFonts w:asciiTheme="minorHAnsi" w:eastAsia="Times New Roman" w:hAnsiTheme="minorHAnsi" w:cs="Arial"/>
                <w:sz w:val="36"/>
                <w:szCs w:val="44"/>
              </w:rPr>
            </w:pPr>
          </w:p>
        </w:tc>
      </w:tr>
      <w:tr w:rsidR="00B12CF9" w14:paraId="4A995B2C" w14:textId="77777777" w:rsidTr="005C0715">
        <w:tc>
          <w:tcPr>
            <w:tcW w:w="3325" w:type="dxa"/>
            <w:shd w:val="clear" w:color="auto" w:fill="F2F2F2" w:themeFill="background1" w:themeFillShade="F2"/>
          </w:tcPr>
          <w:p w14:paraId="5ADC2820"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4AFC42BE" w14:textId="77777777" w:rsidR="00B12CF9" w:rsidRPr="008E5C37" w:rsidRDefault="00B12CF9" w:rsidP="005C0715">
            <w:pPr>
              <w:rPr>
                <w:rFonts w:asciiTheme="minorHAnsi" w:eastAsia="Times New Roman" w:hAnsiTheme="minorHAnsi" w:cs="Arial"/>
                <w:sz w:val="36"/>
                <w:szCs w:val="44"/>
              </w:rPr>
            </w:pPr>
          </w:p>
        </w:tc>
      </w:tr>
    </w:tbl>
    <w:p w14:paraId="784B9341" w14:textId="77777777" w:rsidR="00B12CF9" w:rsidRDefault="00B12CF9" w:rsidP="00B12CF9">
      <w:pPr>
        <w:rPr>
          <w:rFonts w:asciiTheme="minorHAnsi" w:eastAsia="Times New Roman" w:hAnsiTheme="minorHAnsi" w:cs="Arial"/>
          <w:b/>
          <w:sz w:val="36"/>
          <w:szCs w:val="44"/>
        </w:rPr>
      </w:pPr>
    </w:p>
    <w:p w14:paraId="065D1084" w14:textId="77777777" w:rsidR="00B12CF9" w:rsidRDefault="00B12CF9" w:rsidP="00B12CF9">
      <w:pPr>
        <w:pStyle w:val="NoSpacing"/>
      </w:pPr>
      <w:r>
        <w:br w:type="page"/>
      </w:r>
    </w:p>
    <w:p w14:paraId="3B4F3AA5"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6989A999" w14:textId="77777777" w:rsidR="00B12CF9" w:rsidRPr="000205E7" w:rsidRDefault="00B12CF9" w:rsidP="00B12CF9">
      <w:pPr>
        <w:pStyle w:val="NoSpacing"/>
        <w:rPr>
          <w:rFonts w:asciiTheme="minorHAnsi" w:hAnsiTheme="minorHAnsi" w:cstheme="minorHAnsi"/>
          <w:sz w:val="24"/>
          <w:szCs w:val="24"/>
        </w:rPr>
      </w:pPr>
    </w:p>
    <w:p w14:paraId="613C54BB" w14:textId="5E2896A3"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D46B86" w:rsidRPr="002C7E8D">
        <w:rPr>
          <w:rFonts w:asciiTheme="minorHAnsi" w:hAnsiTheme="minorHAnsi" w:cstheme="minorHAnsi"/>
          <w:sz w:val="24"/>
          <w:szCs w:val="24"/>
        </w:rPr>
        <w:t xml:space="preserve">The University of Tennessee </w:t>
      </w:r>
      <w:r w:rsidR="00D46B86">
        <w:rPr>
          <w:rFonts w:asciiTheme="minorHAnsi" w:hAnsiTheme="minorHAnsi" w:cstheme="minorHAnsi"/>
          <w:sz w:val="24"/>
          <w:szCs w:val="24"/>
        </w:rPr>
        <w:t>is seeking</w:t>
      </w:r>
      <w:r w:rsidR="00D46B86" w:rsidRPr="002C7E8D">
        <w:rPr>
          <w:rFonts w:asciiTheme="minorHAnsi" w:hAnsiTheme="minorHAnsi" w:cstheme="minorHAnsi"/>
          <w:sz w:val="24"/>
          <w:szCs w:val="24"/>
        </w:rPr>
        <w:t xml:space="preserve"> </w:t>
      </w:r>
      <w:r w:rsidR="00D46B86">
        <w:rPr>
          <w:rFonts w:asciiTheme="minorHAnsi" w:hAnsiTheme="minorHAnsi" w:cstheme="minorHAnsi"/>
          <w:sz w:val="24"/>
          <w:szCs w:val="24"/>
        </w:rPr>
        <w:t>RFQ submissions</w:t>
      </w:r>
      <w:r w:rsidR="00D46B86" w:rsidRPr="002C7E8D">
        <w:rPr>
          <w:rFonts w:asciiTheme="minorHAnsi" w:hAnsiTheme="minorHAnsi" w:cstheme="minorHAnsi"/>
          <w:sz w:val="24"/>
          <w:szCs w:val="24"/>
        </w:rPr>
        <w:t xml:space="preserve"> for materials and skilled labor </w:t>
      </w:r>
      <w:r w:rsidR="00D46B86">
        <w:rPr>
          <w:rFonts w:asciiTheme="minorHAnsi" w:hAnsiTheme="minorHAnsi" w:cstheme="minorHAnsi"/>
          <w:sz w:val="24"/>
          <w:szCs w:val="24"/>
        </w:rPr>
        <w:t xml:space="preserve">for </w:t>
      </w:r>
      <w:r w:rsidR="00D46B86" w:rsidRPr="002C7E8D">
        <w:rPr>
          <w:rFonts w:asciiTheme="minorHAnsi" w:hAnsiTheme="minorHAnsi" w:cstheme="minorHAnsi"/>
          <w:sz w:val="24"/>
          <w:szCs w:val="24"/>
        </w:rPr>
        <w:t xml:space="preserve">the removal and replacement of all existing overhead shade curtains situated within the South </w:t>
      </w:r>
      <w:r w:rsidR="00D46B86">
        <w:rPr>
          <w:rFonts w:asciiTheme="minorHAnsi" w:hAnsiTheme="minorHAnsi" w:cstheme="minorHAnsi"/>
          <w:sz w:val="24"/>
          <w:szCs w:val="24"/>
        </w:rPr>
        <w:t>G</w:t>
      </w:r>
      <w:r w:rsidR="00D46B86" w:rsidRPr="002C7E8D">
        <w:rPr>
          <w:rFonts w:asciiTheme="minorHAnsi" w:hAnsiTheme="minorHAnsi" w:cstheme="minorHAnsi"/>
          <w:sz w:val="24"/>
          <w:szCs w:val="24"/>
        </w:rPr>
        <w:t>reenhouse. The project will involve the installment of new clips and closure cloth as well as the repair or replacement of any damaged monofilament lines.</w:t>
      </w:r>
    </w:p>
    <w:p w14:paraId="628B7754" w14:textId="77777777" w:rsidR="00B12CF9" w:rsidRDefault="00B12CF9" w:rsidP="00B12CF9">
      <w:pPr>
        <w:pStyle w:val="NoSpacing"/>
        <w:rPr>
          <w:rFonts w:asciiTheme="minorHAnsi" w:hAnsiTheme="minorHAnsi" w:cstheme="minorHAnsi"/>
          <w:sz w:val="24"/>
          <w:szCs w:val="24"/>
          <w:u w:val="single"/>
        </w:rPr>
      </w:pPr>
    </w:p>
    <w:p w14:paraId="1B6DB2DA" w14:textId="77777777" w:rsidR="00B12CF9" w:rsidRDefault="00B12CF9" w:rsidP="00B12CF9">
      <w:pPr>
        <w:pStyle w:val="NoSpacing"/>
        <w:ind w:left="360"/>
        <w:rPr>
          <w:rFonts w:asciiTheme="minorHAnsi" w:hAnsiTheme="minorHAnsi" w:cstheme="minorHAnsi"/>
          <w:sz w:val="24"/>
          <w:szCs w:val="24"/>
        </w:rPr>
      </w:pPr>
    </w:p>
    <w:p w14:paraId="5A7306CC"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09D8A365"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570100A7" w14:textId="77777777" w:rsidR="00B12CF9" w:rsidRPr="000205E7" w:rsidRDefault="00B12CF9" w:rsidP="00B12CF9">
      <w:pPr>
        <w:pStyle w:val="NoSpacing"/>
        <w:ind w:left="1440"/>
        <w:rPr>
          <w:rFonts w:asciiTheme="minorHAnsi" w:hAnsiTheme="minorHAnsi" w:cstheme="minorHAnsi"/>
          <w:sz w:val="24"/>
          <w:szCs w:val="24"/>
          <w:u w:val="single"/>
        </w:rPr>
      </w:pPr>
    </w:p>
    <w:p w14:paraId="5C82F1E4"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26868EE6"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1324C395"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046FDD2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52851470" w14:textId="77777777" w:rsidR="00B12CF9" w:rsidRDefault="00B12CF9" w:rsidP="00B12CF9">
      <w:pPr>
        <w:pStyle w:val="NoSpacing"/>
        <w:ind w:firstLine="720"/>
        <w:rPr>
          <w:rFonts w:asciiTheme="minorHAnsi" w:hAnsiTheme="minorHAnsi" w:cstheme="minorHAnsi"/>
          <w:sz w:val="24"/>
          <w:szCs w:val="24"/>
        </w:rPr>
      </w:pPr>
    </w:p>
    <w:p w14:paraId="566DE7A6"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515CB8C6"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1679D688"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Name: BJ Roberts</w:t>
      </w:r>
    </w:p>
    <w:p w14:paraId="5B27E89C"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Title: Strategic Sourcing Manager</w:t>
      </w:r>
    </w:p>
    <w:p w14:paraId="25139445"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Email: </w:t>
      </w:r>
      <w:hyperlink r:id="rId10" w:history="1">
        <w:r>
          <w:rPr>
            <w:rStyle w:val="Hyperlink"/>
            <w:rFonts w:asciiTheme="minorHAnsi" w:hAnsiTheme="minorHAnsi" w:cstheme="minorHAnsi"/>
            <w:sz w:val="24"/>
            <w:szCs w:val="24"/>
          </w:rPr>
          <w:t>broberts@tennessee.edu</w:t>
        </w:r>
      </w:hyperlink>
    </w:p>
    <w:p w14:paraId="7B2BEE9C"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Phone: 865-974-2569</w:t>
      </w:r>
    </w:p>
    <w:p w14:paraId="647CE7A3" w14:textId="77777777" w:rsidR="00B12CF9" w:rsidRPr="000205E7" w:rsidRDefault="00B12CF9" w:rsidP="00B12CF9">
      <w:pPr>
        <w:pStyle w:val="NoSpacing"/>
        <w:ind w:left="2160"/>
        <w:rPr>
          <w:rFonts w:asciiTheme="minorHAnsi" w:hAnsiTheme="minorHAnsi" w:cstheme="minorHAnsi"/>
          <w:sz w:val="24"/>
          <w:szCs w:val="24"/>
        </w:rPr>
      </w:pPr>
    </w:p>
    <w:p w14:paraId="26CF318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75ABF5A9" w14:textId="77777777" w:rsidR="00B12CF9" w:rsidRPr="000205E7" w:rsidRDefault="00B12CF9" w:rsidP="00B12CF9">
      <w:pPr>
        <w:pStyle w:val="NoSpacing"/>
        <w:ind w:left="360"/>
        <w:rPr>
          <w:rFonts w:asciiTheme="minorHAnsi" w:hAnsiTheme="minorHAnsi" w:cstheme="minorHAnsi"/>
          <w:sz w:val="24"/>
          <w:szCs w:val="24"/>
        </w:rPr>
      </w:pPr>
    </w:p>
    <w:p w14:paraId="60FC4AA1" w14:textId="77777777" w:rsidR="00B12CF9" w:rsidRPr="000205E7" w:rsidRDefault="00B12CF9" w:rsidP="00B12CF9">
      <w:pPr>
        <w:pStyle w:val="NoSpacing"/>
        <w:ind w:left="720"/>
        <w:rPr>
          <w:rFonts w:asciiTheme="minorHAnsi" w:hAnsiTheme="minorHAnsi" w:cstheme="minorHAnsi"/>
          <w:sz w:val="24"/>
          <w:szCs w:val="24"/>
        </w:rPr>
      </w:pPr>
    </w:p>
    <w:p w14:paraId="27B54C75" w14:textId="248B5B9A" w:rsidR="00B12CF9" w:rsidRDefault="00B12CF9" w:rsidP="0050547B">
      <w:pPr>
        <w:numPr>
          <w:ilvl w:val="0"/>
          <w:numId w:val="1"/>
        </w:numPr>
        <w:ind w:left="360"/>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7142FE7D" w14:textId="576BF9A8"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w:t>
      </w:r>
      <w:r w:rsidR="00D46B86">
        <w:rPr>
          <w:rFonts w:asciiTheme="minorHAnsi" w:hAnsiTheme="minorHAnsi" w:cstheme="minorHAnsi"/>
          <w:sz w:val="24"/>
          <w:szCs w:val="24"/>
        </w:rPr>
        <w:t>The University intends to award this solicitation to one respondent, unless the University deems it to be in its best interest to award to more respondents.  The University retains sole discretion over this decision. The University may cancel this solicitation at any time for any reason.  The University’s decision to cancel the solicitation is within the University’s sole discretion.</w:t>
      </w:r>
    </w:p>
    <w:p w14:paraId="322A0762" w14:textId="77777777" w:rsidR="00B12CF9" w:rsidRDefault="00B12CF9" w:rsidP="00B12CF9">
      <w:pPr>
        <w:pStyle w:val="NoSpacing"/>
        <w:ind w:left="360"/>
        <w:rPr>
          <w:rFonts w:asciiTheme="minorHAnsi" w:hAnsiTheme="minorHAnsi" w:cstheme="minorHAnsi"/>
          <w:sz w:val="24"/>
          <w:szCs w:val="24"/>
        </w:rPr>
      </w:pPr>
    </w:p>
    <w:p w14:paraId="49F17168" w14:textId="77777777" w:rsidR="00D46B86" w:rsidRPr="002A50A1" w:rsidRDefault="00D46B86" w:rsidP="00B12CF9">
      <w:pPr>
        <w:pStyle w:val="NoSpacing"/>
        <w:ind w:left="360"/>
        <w:rPr>
          <w:rFonts w:asciiTheme="minorHAnsi" w:hAnsiTheme="minorHAnsi" w:cstheme="minorHAnsi"/>
          <w:sz w:val="24"/>
          <w:szCs w:val="24"/>
        </w:rPr>
      </w:pPr>
    </w:p>
    <w:p w14:paraId="116A0BC1" w14:textId="5AB1457A"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00D46B86">
        <w:rPr>
          <w:rFonts w:asciiTheme="minorHAnsi" w:hAnsiTheme="minorHAnsi" w:cstheme="minorHAnsi"/>
          <w:sz w:val="24"/>
          <w:szCs w:val="24"/>
        </w:rPr>
        <w:t>: NA</w:t>
      </w:r>
    </w:p>
    <w:p w14:paraId="4C575721" w14:textId="77777777" w:rsidR="00D46B86" w:rsidRPr="00C04F05" w:rsidRDefault="00D46B86" w:rsidP="0050547B">
      <w:pPr>
        <w:pStyle w:val="NoSpacing"/>
        <w:rPr>
          <w:rFonts w:asciiTheme="minorHAnsi" w:hAnsiTheme="minorHAnsi" w:cstheme="minorHAnsi"/>
          <w:sz w:val="24"/>
          <w:szCs w:val="24"/>
        </w:rPr>
      </w:pPr>
    </w:p>
    <w:p w14:paraId="33C6924A" w14:textId="77777777" w:rsidR="00B12CF9" w:rsidRPr="0050547B" w:rsidRDefault="00B12CF9" w:rsidP="0050547B">
      <w:pPr>
        <w:pStyle w:val="NoSpacing"/>
        <w:numPr>
          <w:ilvl w:val="0"/>
          <w:numId w:val="1"/>
        </w:numPr>
        <w:ind w:left="360"/>
        <w:rPr>
          <w:sz w:val="24"/>
          <w:szCs w:val="24"/>
        </w:rPr>
      </w:pPr>
      <w:r w:rsidRPr="0050547B">
        <w:rPr>
          <w:b/>
          <w:sz w:val="24"/>
          <w:szCs w:val="24"/>
          <w:u w:val="single"/>
        </w:rPr>
        <w:t>No Pre-Bid Conference or Site Visit</w:t>
      </w:r>
      <w:r w:rsidRPr="0050547B">
        <w:rPr>
          <w:bCs/>
          <w:sz w:val="24"/>
          <w:szCs w:val="24"/>
        </w:rPr>
        <w:t>:</w:t>
      </w:r>
      <w:r w:rsidRPr="0050547B">
        <w:rPr>
          <w:sz w:val="24"/>
          <w:szCs w:val="24"/>
        </w:rPr>
        <w:t xml:space="preserve"> The University will not hold a pre-bid conference/site visit for this solicitation. </w:t>
      </w:r>
    </w:p>
    <w:p w14:paraId="2331D6F2" w14:textId="77777777" w:rsidR="00DF6426" w:rsidRPr="00892312" w:rsidRDefault="00DF6426" w:rsidP="00B12CF9">
      <w:pPr>
        <w:pStyle w:val="NoSpacing"/>
        <w:ind w:left="360"/>
        <w:rPr>
          <w:rFonts w:asciiTheme="minorHAnsi" w:hAnsiTheme="minorHAnsi" w:cstheme="minorHAnsi"/>
          <w:sz w:val="24"/>
          <w:szCs w:val="24"/>
        </w:rPr>
      </w:pPr>
    </w:p>
    <w:p w14:paraId="4A0FC0B4"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lastRenderedPageBreak/>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59609B78"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D46B86" w14:paraId="1081AA0F" w14:textId="77777777" w:rsidTr="005C0715">
        <w:tc>
          <w:tcPr>
            <w:tcW w:w="4385" w:type="dxa"/>
          </w:tcPr>
          <w:p w14:paraId="6A3941E1" w14:textId="106C3AAF"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31A1352C" w14:textId="5403552F" w:rsidR="00D46B86" w:rsidRDefault="00175F43" w:rsidP="00D46B86">
            <w:pPr>
              <w:pStyle w:val="NoSpacing"/>
              <w:rPr>
                <w:rFonts w:asciiTheme="minorHAnsi" w:hAnsiTheme="minorHAnsi" w:cstheme="minorHAnsi"/>
                <w:sz w:val="24"/>
                <w:szCs w:val="24"/>
              </w:rPr>
            </w:pPr>
            <w:r>
              <w:rPr>
                <w:rFonts w:asciiTheme="minorHAnsi" w:hAnsiTheme="minorHAnsi" w:cstheme="minorHAnsi"/>
                <w:sz w:val="24"/>
                <w:szCs w:val="24"/>
              </w:rPr>
              <w:t>April</w:t>
            </w:r>
            <w:r w:rsidR="00D46B86">
              <w:rPr>
                <w:rFonts w:asciiTheme="minorHAnsi" w:hAnsiTheme="minorHAnsi" w:cstheme="minorHAnsi"/>
                <w:sz w:val="24"/>
                <w:szCs w:val="24"/>
              </w:rPr>
              <w:t xml:space="preserve"> </w:t>
            </w:r>
            <w:r>
              <w:rPr>
                <w:rFonts w:asciiTheme="minorHAnsi" w:hAnsiTheme="minorHAnsi" w:cstheme="minorHAnsi"/>
                <w:sz w:val="24"/>
                <w:szCs w:val="24"/>
              </w:rPr>
              <w:t>25</w:t>
            </w:r>
            <w:r w:rsidR="00D46B86">
              <w:rPr>
                <w:rFonts w:asciiTheme="minorHAnsi" w:hAnsiTheme="minorHAnsi" w:cstheme="minorHAnsi"/>
                <w:sz w:val="24"/>
                <w:szCs w:val="24"/>
              </w:rPr>
              <w:t>, 2024</w:t>
            </w:r>
          </w:p>
        </w:tc>
      </w:tr>
      <w:tr w:rsidR="00D46B86" w:rsidRPr="00EF46A2" w14:paraId="4272E9FF" w14:textId="77777777" w:rsidTr="005C0715">
        <w:tc>
          <w:tcPr>
            <w:tcW w:w="4385" w:type="dxa"/>
          </w:tcPr>
          <w:p w14:paraId="5965C974" w14:textId="2314087E"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Mandatory Pre-Bid Conference</w:t>
            </w:r>
          </w:p>
        </w:tc>
        <w:tc>
          <w:tcPr>
            <w:tcW w:w="4245" w:type="dxa"/>
          </w:tcPr>
          <w:p w14:paraId="30EE5656" w14:textId="00B78CB2"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D46B86" w14:paraId="74EC1CC7" w14:textId="77777777" w:rsidTr="005C0715">
        <w:tc>
          <w:tcPr>
            <w:tcW w:w="4385" w:type="dxa"/>
          </w:tcPr>
          <w:p w14:paraId="4D87C3C9" w14:textId="52969719"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6C6EE24A" w14:textId="54C3C5E3" w:rsidR="00D46B86" w:rsidRDefault="00175F43" w:rsidP="00D46B86">
            <w:pPr>
              <w:pStyle w:val="NoSpacing"/>
              <w:rPr>
                <w:rFonts w:asciiTheme="minorHAnsi" w:hAnsiTheme="minorHAnsi" w:cstheme="minorHAnsi"/>
                <w:sz w:val="24"/>
                <w:szCs w:val="24"/>
              </w:rPr>
            </w:pPr>
            <w:r>
              <w:rPr>
                <w:rFonts w:asciiTheme="minorHAnsi" w:hAnsiTheme="minorHAnsi" w:cstheme="minorHAnsi"/>
                <w:sz w:val="24"/>
                <w:szCs w:val="24"/>
              </w:rPr>
              <w:t>April 30</w:t>
            </w:r>
            <w:r w:rsidR="00D46B86">
              <w:rPr>
                <w:rFonts w:asciiTheme="minorHAnsi" w:hAnsiTheme="minorHAnsi" w:cstheme="minorHAnsi"/>
                <w:sz w:val="24"/>
                <w:szCs w:val="24"/>
              </w:rPr>
              <w:t>, 2024</w:t>
            </w:r>
          </w:p>
        </w:tc>
      </w:tr>
      <w:tr w:rsidR="00D46B86" w14:paraId="247F59F4" w14:textId="77777777" w:rsidTr="005C0715">
        <w:tc>
          <w:tcPr>
            <w:tcW w:w="4385" w:type="dxa"/>
          </w:tcPr>
          <w:p w14:paraId="2118EDB7" w14:textId="762F854D"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54643CDA" w14:textId="6FB1170A" w:rsidR="00D46B86" w:rsidRDefault="00175F43" w:rsidP="00D46B86">
            <w:pPr>
              <w:pStyle w:val="NoSpacing"/>
              <w:rPr>
                <w:rFonts w:asciiTheme="minorHAnsi" w:hAnsiTheme="minorHAnsi" w:cstheme="minorHAnsi"/>
                <w:sz w:val="24"/>
                <w:szCs w:val="24"/>
              </w:rPr>
            </w:pPr>
            <w:r>
              <w:rPr>
                <w:rFonts w:asciiTheme="minorHAnsi" w:hAnsiTheme="minorHAnsi" w:cstheme="minorHAnsi"/>
                <w:sz w:val="24"/>
                <w:szCs w:val="24"/>
              </w:rPr>
              <w:t>May</w:t>
            </w:r>
            <w:r w:rsidR="00D46B86">
              <w:rPr>
                <w:rFonts w:asciiTheme="minorHAnsi" w:hAnsiTheme="minorHAnsi" w:cstheme="minorHAnsi"/>
                <w:sz w:val="24"/>
                <w:szCs w:val="24"/>
              </w:rPr>
              <w:t xml:space="preserve"> </w:t>
            </w:r>
            <w:r>
              <w:rPr>
                <w:rFonts w:asciiTheme="minorHAnsi" w:hAnsiTheme="minorHAnsi" w:cstheme="minorHAnsi"/>
                <w:sz w:val="24"/>
                <w:szCs w:val="24"/>
              </w:rPr>
              <w:t>02</w:t>
            </w:r>
            <w:r w:rsidR="00D46B86">
              <w:rPr>
                <w:rFonts w:asciiTheme="minorHAnsi" w:hAnsiTheme="minorHAnsi" w:cstheme="minorHAnsi"/>
                <w:sz w:val="24"/>
                <w:szCs w:val="24"/>
              </w:rPr>
              <w:t>, 2024 at 2:00 PM EST</w:t>
            </w:r>
          </w:p>
        </w:tc>
      </w:tr>
      <w:tr w:rsidR="00D46B86" w:rsidRPr="00EF46A2" w14:paraId="42DD20E8" w14:textId="77777777" w:rsidTr="007640CD">
        <w:trPr>
          <w:trHeight w:val="107"/>
        </w:trPr>
        <w:tc>
          <w:tcPr>
            <w:tcW w:w="4385" w:type="dxa"/>
          </w:tcPr>
          <w:p w14:paraId="44AAA88D" w14:textId="1819D868"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Site visit</w:t>
            </w:r>
          </w:p>
        </w:tc>
        <w:tc>
          <w:tcPr>
            <w:tcW w:w="4245" w:type="dxa"/>
          </w:tcPr>
          <w:p w14:paraId="62110AED" w14:textId="35CDD826"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384432F5" w14:textId="77777777" w:rsidR="00B12CF9" w:rsidRDefault="00B12CF9" w:rsidP="00B12CF9">
      <w:pPr>
        <w:pStyle w:val="NoSpacing"/>
        <w:rPr>
          <w:rFonts w:asciiTheme="minorHAnsi" w:hAnsiTheme="minorHAnsi" w:cstheme="minorHAnsi"/>
          <w:b/>
          <w:sz w:val="24"/>
          <w:szCs w:val="24"/>
        </w:rPr>
      </w:pPr>
    </w:p>
    <w:p w14:paraId="2B63B034"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2A6B9482"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7C2CFBFD"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64CC2506" w14:textId="77777777" w:rsidR="007640CD" w:rsidRPr="00B52477" w:rsidRDefault="007640CD" w:rsidP="00B52477">
      <w:pPr>
        <w:pStyle w:val="NoSpacing"/>
        <w:ind w:left="1440"/>
        <w:rPr>
          <w:rFonts w:asciiTheme="minorHAnsi" w:hAnsiTheme="minorHAnsi" w:cstheme="minorHAnsi"/>
          <w:b/>
          <w:sz w:val="24"/>
          <w:szCs w:val="24"/>
        </w:rPr>
      </w:pPr>
    </w:p>
    <w:p w14:paraId="06B54ACC"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1"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1"/>
      <w:r w:rsidR="002435FB">
        <w:rPr>
          <w:sz w:val="24"/>
        </w:rPr>
        <w:t>Respondent may resubmit a bid through the electronic system, if done so before the response deadline</w:t>
      </w:r>
      <w:r>
        <w:rPr>
          <w:sz w:val="24"/>
        </w:rPr>
        <w:t xml:space="preserve">.  </w:t>
      </w:r>
      <w:bookmarkStart w:id="2" w:name="_Hlk48811695"/>
      <w:r w:rsidR="00C84550">
        <w:rPr>
          <w:sz w:val="24"/>
        </w:rPr>
        <w:t>The University will not consider w</w:t>
      </w:r>
      <w:r w:rsidRPr="00DD7CBF">
        <w:rPr>
          <w:sz w:val="24"/>
        </w:rPr>
        <w:t>ithdrawals or modifications offered in any other manner</w:t>
      </w:r>
      <w:bookmarkEnd w:id="2"/>
      <w:r>
        <w:rPr>
          <w:sz w:val="24"/>
        </w:rPr>
        <w:t>.</w:t>
      </w:r>
    </w:p>
    <w:p w14:paraId="740331FF" w14:textId="77777777" w:rsidR="007640CD" w:rsidRPr="00B52477" w:rsidRDefault="007640CD" w:rsidP="00B52477">
      <w:pPr>
        <w:pStyle w:val="NoSpacing"/>
        <w:ind w:left="720"/>
        <w:rPr>
          <w:rFonts w:asciiTheme="minorHAnsi" w:hAnsiTheme="minorHAnsi" w:cstheme="minorHAnsi"/>
          <w:b/>
          <w:sz w:val="24"/>
          <w:szCs w:val="24"/>
        </w:rPr>
      </w:pPr>
    </w:p>
    <w:p w14:paraId="39A20530"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17ADDE87" w14:textId="77777777" w:rsidR="00B12CF9" w:rsidRDefault="00B12CF9" w:rsidP="00B12CF9">
      <w:pPr>
        <w:pStyle w:val="NoSpacing"/>
        <w:rPr>
          <w:rFonts w:asciiTheme="minorHAnsi" w:hAnsiTheme="minorHAnsi" w:cstheme="minorHAnsi"/>
          <w:b/>
          <w:sz w:val="24"/>
          <w:szCs w:val="24"/>
        </w:rPr>
      </w:pPr>
    </w:p>
    <w:p w14:paraId="043E9D97"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71305456" w14:textId="77777777" w:rsidR="00B12CF9" w:rsidRDefault="00B12CF9" w:rsidP="00B12CF9">
      <w:pPr>
        <w:pStyle w:val="NoSpacing"/>
        <w:rPr>
          <w:rFonts w:asciiTheme="minorHAnsi" w:hAnsiTheme="minorHAnsi" w:cstheme="minorHAnsi"/>
          <w:sz w:val="24"/>
          <w:szCs w:val="24"/>
        </w:rPr>
      </w:pPr>
    </w:p>
    <w:p w14:paraId="66206711"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32589DAC"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0CA59399"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bookmarkStart w:id="3" w:name="_MON_1773569869"/>
    <w:bookmarkEnd w:id="3"/>
    <w:p w14:paraId="7FB6CFCF" w14:textId="77777777" w:rsidR="00D46B86" w:rsidRDefault="00EF5C82" w:rsidP="0050547B">
      <w:pPr>
        <w:pStyle w:val="ListParagraph"/>
        <w:rPr>
          <w:rFonts w:asciiTheme="minorHAnsi" w:hAnsiTheme="minorHAnsi" w:cstheme="minorHAnsi"/>
          <w:b/>
          <w:sz w:val="24"/>
          <w:szCs w:val="24"/>
          <w:u w:val="single"/>
        </w:rPr>
      </w:pPr>
      <w:r w:rsidRPr="007D77D6">
        <w:rPr>
          <w:rFonts w:asciiTheme="minorHAnsi" w:hAnsiTheme="minorHAnsi" w:cstheme="minorHAnsi"/>
          <w:b/>
          <w:noProof/>
          <w:sz w:val="24"/>
          <w:szCs w:val="24"/>
        </w:rPr>
      </w:r>
      <w:r w:rsidR="00EF5C82" w:rsidRPr="007D77D6">
        <w:rPr>
          <w:rFonts w:asciiTheme="minorHAnsi" w:hAnsiTheme="minorHAnsi" w:cstheme="minorHAnsi"/>
          <w:b/>
          <w:noProof/>
          <w:sz w:val="24"/>
          <w:szCs w:val="24"/>
        </w:rPr>
        <w:object w:dxaOrig="10220" w:dyaOrig="3600" w14:anchorId="5ACDB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pt;height:180pt;mso-width-percent:0;mso-height-percent:0;mso-width-percent:0;mso-height-percent:0" o:ole="">
            <v:imagedata r:id="rId11" o:title=""/>
          </v:shape>
          <o:OLEObject Type="Embed" ProgID="Word.Document.12" ShapeID="_x0000_i1025" DrawAspect="Content" ObjectID="_1775551125" r:id="rId12">
            <o:FieldCodes>\s</o:FieldCodes>
          </o:OLEObject>
        </w:object>
      </w:r>
    </w:p>
    <w:p w14:paraId="234F369B" w14:textId="77777777" w:rsidR="00D46B86" w:rsidRPr="00E540C5" w:rsidRDefault="00D46B86" w:rsidP="0050547B">
      <w:pPr>
        <w:pStyle w:val="ListParagraph"/>
        <w:rPr>
          <w:rFonts w:asciiTheme="minorHAnsi" w:hAnsiTheme="minorHAnsi" w:cstheme="minorHAnsi"/>
          <w:bCs/>
          <w:sz w:val="24"/>
          <w:szCs w:val="24"/>
        </w:rPr>
      </w:pPr>
      <w:r w:rsidRPr="00E540C5">
        <w:rPr>
          <w:rFonts w:asciiTheme="minorHAnsi" w:hAnsiTheme="minorHAnsi" w:cstheme="minorHAnsi"/>
          <w:bCs/>
          <w:sz w:val="24"/>
          <w:szCs w:val="24"/>
        </w:rPr>
        <w:t xml:space="preserve">The following language should be included in the Description of Operations section of the COI: </w:t>
      </w:r>
    </w:p>
    <w:p w14:paraId="30EE9C45" w14:textId="77777777" w:rsidR="00D46B86" w:rsidRPr="00E540C5" w:rsidRDefault="00D46B86" w:rsidP="0050547B">
      <w:pPr>
        <w:pStyle w:val="ListParagraph"/>
        <w:rPr>
          <w:rFonts w:asciiTheme="minorHAnsi" w:hAnsiTheme="minorHAnsi" w:cstheme="minorHAnsi"/>
          <w:bCs/>
          <w:sz w:val="24"/>
          <w:szCs w:val="24"/>
        </w:rPr>
      </w:pPr>
    </w:p>
    <w:p w14:paraId="4CEDD33D" w14:textId="77777777" w:rsidR="00D46B86" w:rsidRPr="00E540C5" w:rsidRDefault="00D46B86" w:rsidP="0050547B">
      <w:pPr>
        <w:pStyle w:val="ListParagraph"/>
        <w:rPr>
          <w:rFonts w:asciiTheme="minorHAnsi" w:hAnsiTheme="minorHAnsi" w:cstheme="minorHAnsi"/>
          <w:bCs/>
          <w:sz w:val="24"/>
          <w:szCs w:val="24"/>
        </w:rPr>
      </w:pPr>
      <w:r w:rsidRPr="00E540C5">
        <w:rPr>
          <w:rFonts w:asciiTheme="minorHAnsi" w:hAnsiTheme="minorHAnsi" w:cstheme="minorHAnsi"/>
          <w:bCs/>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55E2A32F" w14:textId="77777777" w:rsidR="00D46B86" w:rsidRDefault="00D46B86" w:rsidP="0050547B">
      <w:pPr>
        <w:pStyle w:val="ListParagraph"/>
        <w:rPr>
          <w:rFonts w:asciiTheme="minorHAnsi" w:hAnsiTheme="minorHAnsi" w:cstheme="minorHAnsi"/>
          <w:b/>
          <w:sz w:val="24"/>
          <w:szCs w:val="24"/>
          <w:u w:val="single"/>
        </w:rPr>
      </w:pPr>
    </w:p>
    <w:p w14:paraId="471C0C54"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Pr>
          <w:rFonts w:asciiTheme="minorHAnsi" w:hAnsiTheme="minorHAnsi" w:cstheme="minorHAnsi"/>
          <w:sz w:val="24"/>
          <w:szCs w:val="24"/>
        </w:rPr>
        <w:t>(if applicable)</w:t>
      </w:r>
    </w:p>
    <w:p w14:paraId="1A11D1C1" w14:textId="77777777"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(if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A copy of the valid Tennessee Contractor’s License must be submitted with the bid as a separate document.</w:t>
      </w:r>
    </w:p>
    <w:p w14:paraId="38A8876B"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345FF774" w14:textId="67FB4501"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D46B86" w:rsidRPr="0050547B">
        <w:rPr>
          <w:rFonts w:asciiTheme="minorHAnsi" w:hAnsiTheme="minorHAnsi" w:cstheme="minorHAnsi"/>
          <w:bCs/>
          <w:sz w:val="24"/>
          <w:szCs w:val="24"/>
        </w:rPr>
        <w:t xml:space="preserve"> NA</w:t>
      </w:r>
    </w:p>
    <w:p w14:paraId="60A4DFFA"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3031548F"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6F85CA83"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6F0BEA">
        <w:rPr>
          <w:sz w:val="24"/>
          <w:szCs w:val="24"/>
        </w:rPr>
        <w:t>are:</w:t>
      </w:r>
      <w:proofErr w:type="gramEnd"/>
      <w:r w:rsidRPr="006F0BEA">
        <w:rPr>
          <w:sz w:val="24"/>
          <w:szCs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7AB6F840"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585EA868"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426F930B"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proofErr w:type="gramStart"/>
      <w:r w:rsidRPr="00506B3E">
        <w:rPr>
          <w:rFonts w:eastAsia="Times New Roman"/>
          <w:color w:val="000000"/>
          <w:sz w:val="24"/>
          <w:szCs w:val="24"/>
        </w:rPr>
        <w:t>On-premise</w:t>
      </w:r>
      <w:proofErr w:type="gramEnd"/>
      <w:r w:rsidRPr="00506B3E">
        <w:rPr>
          <w:rFonts w:eastAsia="Times New Roman"/>
          <w:color w:val="000000"/>
          <w:sz w:val="24"/>
          <w:szCs w:val="24"/>
        </w:rPr>
        <w:t xml:space="preserve">: If proposed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sidRPr="00506B3E">
        <w:rPr>
          <w:rFonts w:eastAsia="Times New Roman"/>
          <w:color w:val="000000"/>
          <w:sz w:val="24"/>
          <w:szCs w:val="24"/>
        </w:rPr>
        <w:t>database</w:t>
      </w:r>
      <w:proofErr w:type="gramEnd"/>
      <w:r w:rsidRPr="00506B3E">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4D68F11A"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proofErr w:type="gramStart"/>
      <w:r w:rsidRPr="00E938BB">
        <w:rPr>
          <w:b/>
          <w:szCs w:val="24"/>
          <w:u w:val="single"/>
        </w:rPr>
        <w:t>:</w:t>
      </w:r>
      <w:r w:rsidRPr="00A91473">
        <w:rPr>
          <w:szCs w:val="24"/>
        </w:rPr>
        <w:t xml:space="preserve"> </w:t>
      </w:r>
      <w:r>
        <w:rPr>
          <w:szCs w:val="24"/>
        </w:rPr>
        <w:t xml:space="preserve"> (</w:t>
      </w:r>
      <w:proofErr w:type="gramEnd"/>
      <w:r>
        <w:rPr>
          <w:szCs w:val="24"/>
        </w:rPr>
        <w:t>if applicable)</w:t>
      </w:r>
    </w:p>
    <w:p w14:paraId="4DF63FB2" w14:textId="77777777" w:rsidR="00B12CF9" w:rsidRPr="006673AF" w:rsidRDefault="00B12CF9" w:rsidP="00B12CF9">
      <w:pPr>
        <w:pStyle w:val="ListParagraph"/>
        <w:rPr>
          <w:sz w:val="24"/>
          <w:szCs w:val="24"/>
        </w:rPr>
      </w:pPr>
      <w:r w:rsidRPr="00E938BB">
        <w:rPr>
          <w:rFonts w:cs="Calibri"/>
          <w:sz w:val="24"/>
          <w:szCs w:val="24"/>
        </w:rPr>
        <w:t xml:space="preserve">If the proposed solution is software or another technology resource that will be used by the University’s students, or members of the </w:t>
      </w:r>
      <w:proofErr w:type="gramStart"/>
      <w:r w:rsidRPr="00E938BB">
        <w:rPr>
          <w:rFonts w:cs="Calibri"/>
          <w:sz w:val="24"/>
          <w:szCs w:val="24"/>
        </w:rPr>
        <w:t>general public</w:t>
      </w:r>
      <w:proofErr w:type="gramEnd"/>
      <w:r w:rsidRPr="00E938BB">
        <w:rPr>
          <w:rFonts w:cs="Calibri"/>
          <w:sz w:val="24"/>
          <w:szCs w:val="24"/>
        </w:rPr>
        <w:t xml:space="preserve">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3"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42B130A4" w14:textId="77777777" w:rsidR="00D46B86" w:rsidRDefault="00D46B86">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5BC9D98F" w14:textId="2650ECDE" w:rsidR="006F726A" w:rsidRPr="006F726A" w:rsidRDefault="00B12CF9" w:rsidP="0050547B">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69AC1F09" w14:textId="77777777" w:rsidR="006F726A" w:rsidRDefault="006F726A" w:rsidP="00B12CF9">
      <w:pPr>
        <w:pStyle w:val="NoSpacing"/>
        <w:rPr>
          <w:rFonts w:asciiTheme="minorHAnsi" w:hAnsiTheme="minorHAnsi" w:cstheme="minorHAnsi"/>
          <w:color w:val="FF0000"/>
          <w:sz w:val="24"/>
          <w:szCs w:val="24"/>
        </w:rPr>
      </w:pPr>
    </w:p>
    <w:p w14:paraId="2DDD58E1"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Material and labor to remove and replace all existing overhead shade curtains located in the South Greenhouse range (84' x 100') (Flat SS). Replace all clips, closure cloth and damaged monofilament lines.</w:t>
      </w:r>
    </w:p>
    <w:p w14:paraId="1FA771E7"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Material List:</w:t>
      </w:r>
    </w:p>
    <w:p w14:paraId="75C96D4D"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(12) LS Harmony 4647 curtains (13' x 26')</w:t>
      </w:r>
    </w:p>
    <w:p w14:paraId="4B7320A1"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(12) LS Harmony 4647 curtains (13' x 38')</w:t>
      </w:r>
    </w:p>
    <w:p w14:paraId="1AB78B7E"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(6) LS Harmony 4647 curtains (13' x 50')</w:t>
      </w:r>
    </w:p>
    <w:p w14:paraId="0E6F33CC"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(400') Closure cloth (24")</w:t>
      </w:r>
    </w:p>
    <w:p w14:paraId="5B22D679"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(500) LE clips (C)</w:t>
      </w:r>
    </w:p>
    <w:p w14:paraId="628AD717" w14:textId="77777777" w:rsidR="00D46B86" w:rsidRDefault="00D46B86" w:rsidP="00D46B86">
      <w:pPr>
        <w:pStyle w:val="NoSpacing"/>
        <w:rPr>
          <w:rFonts w:asciiTheme="minorHAnsi" w:hAnsiTheme="minorHAnsi" w:cstheme="minorHAnsi"/>
          <w:sz w:val="24"/>
          <w:szCs w:val="24"/>
        </w:rPr>
      </w:pPr>
    </w:p>
    <w:p w14:paraId="036A8638" w14:textId="77777777"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 xml:space="preserve">Please outline the lead time for delivery and installation. Timing may be a deciding factor. </w:t>
      </w:r>
    </w:p>
    <w:p w14:paraId="382EB232" w14:textId="77777777" w:rsidR="00B12CF9" w:rsidRDefault="00B12CF9" w:rsidP="00B12CF9">
      <w:pPr>
        <w:pStyle w:val="NoSpacing"/>
        <w:rPr>
          <w:rFonts w:asciiTheme="minorHAnsi" w:hAnsiTheme="minorHAnsi" w:cstheme="minorHAnsi"/>
          <w:sz w:val="24"/>
          <w:szCs w:val="24"/>
        </w:rPr>
      </w:pPr>
    </w:p>
    <w:p w14:paraId="727701A0" w14:textId="77777777" w:rsidR="00B12CF9" w:rsidRDefault="00B12CF9" w:rsidP="00B12CF9">
      <w:pPr>
        <w:pStyle w:val="NoSpacing"/>
        <w:rPr>
          <w:rFonts w:asciiTheme="minorHAnsi" w:hAnsiTheme="minorHAnsi" w:cstheme="minorHAnsi"/>
          <w:sz w:val="24"/>
          <w:szCs w:val="24"/>
        </w:rPr>
      </w:pPr>
    </w:p>
    <w:p w14:paraId="5A8652AE" w14:textId="77777777" w:rsidR="00B12CF9" w:rsidRDefault="00B12CF9" w:rsidP="00B12CF9">
      <w:pPr>
        <w:pStyle w:val="NoSpacing"/>
        <w:rPr>
          <w:rFonts w:asciiTheme="minorHAnsi" w:hAnsiTheme="minorHAnsi" w:cstheme="minorHAnsi"/>
          <w:sz w:val="24"/>
          <w:szCs w:val="24"/>
        </w:rPr>
      </w:pPr>
    </w:p>
    <w:p w14:paraId="46CA47B1" w14:textId="77777777" w:rsidR="00D46B86" w:rsidRDefault="00D46B86">
      <w:pPr>
        <w:spacing w:after="160" w:line="259" w:lineRule="auto"/>
        <w:rPr>
          <w:b/>
          <w:u w:val="single"/>
        </w:rPr>
      </w:pPr>
      <w:r>
        <w:rPr>
          <w:b/>
          <w:u w:val="single"/>
        </w:rPr>
        <w:br w:type="page"/>
      </w:r>
    </w:p>
    <w:p w14:paraId="6E1ECB47" w14:textId="4E2D9C19" w:rsidR="00B12CF9" w:rsidRPr="007566B7" w:rsidRDefault="007566B7" w:rsidP="007566B7">
      <w:pPr>
        <w:rPr>
          <w:b/>
          <w:u w:val="single"/>
        </w:rPr>
      </w:pPr>
      <w:r w:rsidRPr="007566B7">
        <w:rPr>
          <w:b/>
          <w:u w:val="single"/>
        </w:rPr>
        <w:t>Section D: Cost</w:t>
      </w:r>
    </w:p>
    <w:p w14:paraId="2E695C7A"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1B0D8D90"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71FC8D99" w14:textId="77777777" w:rsidR="00B12CF9" w:rsidRDefault="00B12CF9" w:rsidP="00B12CF9">
      <w:pPr>
        <w:pStyle w:val="NoSpacing"/>
        <w:rPr>
          <w:rFonts w:asciiTheme="minorHAnsi" w:hAnsiTheme="minorHAnsi" w:cstheme="minorHAnsi"/>
          <w:sz w:val="24"/>
          <w:szCs w:val="24"/>
        </w:rPr>
      </w:pPr>
    </w:p>
    <w:p w14:paraId="00D120F2" w14:textId="77777777" w:rsidR="00B12CF9" w:rsidRDefault="00B12CF9" w:rsidP="00B12CF9">
      <w:pPr>
        <w:pStyle w:val="NoSpacing"/>
        <w:rPr>
          <w:rFonts w:asciiTheme="minorHAnsi" w:hAnsiTheme="minorHAnsi" w:cstheme="minorHAnsi"/>
          <w:sz w:val="24"/>
          <w:szCs w:val="24"/>
        </w:rPr>
      </w:pPr>
    </w:p>
    <w:p w14:paraId="71E988DA" w14:textId="77777777" w:rsidR="00B12CF9" w:rsidRDefault="00B12CF9" w:rsidP="00B12CF9">
      <w:pPr>
        <w:pStyle w:val="NoSpacing"/>
        <w:rPr>
          <w:rFonts w:asciiTheme="minorHAnsi" w:hAnsiTheme="minorHAnsi" w:cstheme="minorHAnsi"/>
          <w:sz w:val="24"/>
          <w:szCs w:val="24"/>
        </w:rPr>
      </w:pPr>
    </w:p>
    <w:p w14:paraId="27340218" w14:textId="77777777" w:rsidR="00166E5E" w:rsidRDefault="00166E5E" w:rsidP="00B12CF9">
      <w:pPr>
        <w:pStyle w:val="NoSpacing"/>
        <w:rPr>
          <w:rFonts w:asciiTheme="minorHAnsi" w:hAnsiTheme="minorHAnsi" w:cstheme="minorHAnsi"/>
          <w:sz w:val="24"/>
          <w:szCs w:val="24"/>
        </w:rPr>
      </w:pPr>
    </w:p>
    <w:p w14:paraId="11410B25" w14:textId="77777777" w:rsidR="00166E5E" w:rsidRDefault="00166E5E" w:rsidP="00B12CF9">
      <w:pPr>
        <w:pStyle w:val="NoSpacing"/>
        <w:rPr>
          <w:rFonts w:asciiTheme="minorHAnsi" w:hAnsiTheme="minorHAnsi" w:cstheme="minorHAnsi"/>
          <w:sz w:val="24"/>
          <w:szCs w:val="24"/>
        </w:rPr>
      </w:pPr>
    </w:p>
    <w:p w14:paraId="0755354E" w14:textId="77777777" w:rsidR="00166E5E" w:rsidRDefault="00166E5E" w:rsidP="00B12CF9">
      <w:pPr>
        <w:pStyle w:val="NoSpacing"/>
        <w:rPr>
          <w:rFonts w:asciiTheme="minorHAnsi" w:hAnsiTheme="minorHAnsi" w:cstheme="minorHAnsi"/>
          <w:sz w:val="24"/>
          <w:szCs w:val="24"/>
        </w:rPr>
      </w:pPr>
    </w:p>
    <w:p w14:paraId="6AEAA0EA" w14:textId="77777777" w:rsidR="00166E5E" w:rsidRDefault="00166E5E" w:rsidP="00B12CF9">
      <w:pPr>
        <w:pStyle w:val="NoSpacing"/>
        <w:rPr>
          <w:rFonts w:asciiTheme="minorHAnsi" w:hAnsiTheme="minorHAnsi" w:cstheme="minorHAnsi"/>
          <w:sz w:val="24"/>
          <w:szCs w:val="24"/>
        </w:rPr>
      </w:pPr>
    </w:p>
    <w:p w14:paraId="462C17F6" w14:textId="77777777" w:rsidR="00166E5E" w:rsidRDefault="00166E5E" w:rsidP="00B12CF9">
      <w:pPr>
        <w:pStyle w:val="NoSpacing"/>
        <w:rPr>
          <w:rFonts w:asciiTheme="minorHAnsi" w:hAnsiTheme="minorHAnsi" w:cstheme="minorHAnsi"/>
          <w:sz w:val="24"/>
          <w:szCs w:val="24"/>
        </w:rPr>
      </w:pPr>
    </w:p>
    <w:p w14:paraId="24A00206" w14:textId="77777777" w:rsidR="00A94B73" w:rsidRDefault="00A94B73">
      <w:pPr>
        <w:spacing w:after="160" w:line="259" w:lineRule="auto"/>
      </w:pPr>
      <w:r>
        <w:br w:type="page"/>
      </w:r>
    </w:p>
    <w:p w14:paraId="297A68DD"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5815A11A"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50D252D6"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2FC0C744"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4"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1A94848"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646BE0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02F61F5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371E0B6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16A929D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2B80F4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1A2DEFC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6F5483E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85604C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3700F1B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A4613F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2D7972D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2737F9E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297ACB31"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66D1DA16"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1BA85C2E"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24E5108D"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02B8C1C6"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04EE8686"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4DAB81FF"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47A6F0C3"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6A6F514A"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4B8E65A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30DF062C"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76FC908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5241CDB5"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7D6EFF"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418091A"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5"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2921E378" w14:textId="77777777" w:rsidR="00F96F76" w:rsidRDefault="00F96F76" w:rsidP="00F96F76">
      <w:pPr>
        <w:spacing w:before="100" w:beforeAutospacing="1" w:after="100" w:afterAutospacing="1" w:line="240" w:lineRule="auto"/>
        <w:rPr>
          <w:rFonts w:eastAsia="Times New Roman" w:cs="Calibri"/>
          <w:b/>
          <w:bCs/>
          <w:sz w:val="24"/>
          <w:szCs w:val="24"/>
        </w:rPr>
      </w:pPr>
    </w:p>
    <w:p w14:paraId="14202ED7" w14:textId="77777777" w:rsidR="00F96F76" w:rsidRDefault="00F96F76" w:rsidP="00F96F76">
      <w:pPr>
        <w:spacing w:before="100" w:beforeAutospacing="1" w:after="100" w:afterAutospacing="1" w:line="240" w:lineRule="auto"/>
        <w:rPr>
          <w:rFonts w:eastAsia="Times New Roman" w:cs="Calibri"/>
          <w:b/>
          <w:bCs/>
          <w:sz w:val="24"/>
          <w:szCs w:val="24"/>
        </w:rPr>
      </w:pPr>
    </w:p>
    <w:p w14:paraId="31B1A315"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06CA2038"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1342B1AE"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00A70F92"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240CFFB9"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21BB321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257CEE64"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44D2283D"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4D5E8D4E"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3F5FC31A"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57CC8726"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5C699A50"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5A51E346"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1288EA12"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29886EC3"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720DE77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1A76662D"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4B3A960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1996D0C"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15F9202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11544EB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6A5D942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230A9BA7"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6902219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11CEB7F5"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4273E44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309736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4C9DEB3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6154CBD5"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0D1C8F16"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1BA9F744"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627FAEF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5768FE18"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71E8C4EB"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9D76249"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26E24830"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51F81FB8"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6E5BE38"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6BF4529"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12CCEF1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5AFC295A"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16CB5B28"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1274D1DE"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26A3FE4D"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7C5FA2D7"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7BF70E42"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4FEAF96E"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046FC9C1"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4F9BADF4"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226D565D"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5796F6C4"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558593E5"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0087981B"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6CE2E41A"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57559E4D"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0AA6C1B9"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3A629034"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7242E4FE" w14:textId="77777777" w:rsidR="00FC1C04" w:rsidRDefault="00FC1C04"/>
    <w:sectPr w:rsidR="00FC1C04" w:rsidSect="007D77D6">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433A" w14:textId="77777777" w:rsidR="007D77D6" w:rsidRDefault="007D77D6" w:rsidP="00B12CF9">
      <w:pPr>
        <w:spacing w:after="0" w:line="240" w:lineRule="auto"/>
      </w:pPr>
      <w:r>
        <w:separator/>
      </w:r>
    </w:p>
  </w:endnote>
  <w:endnote w:type="continuationSeparator" w:id="0">
    <w:p w14:paraId="47B38BF0" w14:textId="77777777" w:rsidR="007D77D6" w:rsidRDefault="007D77D6"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68CEEDFB"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658C95A4"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8B60" w14:textId="77777777" w:rsidR="007D77D6" w:rsidRDefault="007D77D6" w:rsidP="00B12CF9">
      <w:pPr>
        <w:spacing w:after="0" w:line="240" w:lineRule="auto"/>
      </w:pPr>
      <w:r>
        <w:separator/>
      </w:r>
    </w:p>
  </w:footnote>
  <w:footnote w:type="continuationSeparator" w:id="0">
    <w:p w14:paraId="7B18BE38" w14:textId="77777777" w:rsidR="007D77D6" w:rsidRDefault="007D77D6"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E1FE"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563"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3A4B4C8B" wp14:editId="75C4446A">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7"/>
  </w:num>
  <w:num w:numId="3" w16cid:durableId="1531801586">
    <w:abstractNumId w:val="6"/>
  </w:num>
  <w:num w:numId="4" w16cid:durableId="437411618">
    <w:abstractNumId w:val="0"/>
  </w:num>
  <w:num w:numId="5" w16cid:durableId="978339185">
    <w:abstractNumId w:val="5"/>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86"/>
    <w:rsid w:val="0000199C"/>
    <w:rsid w:val="00004B83"/>
    <w:rsid w:val="00005253"/>
    <w:rsid w:val="0005268C"/>
    <w:rsid w:val="00075E3A"/>
    <w:rsid w:val="000A6695"/>
    <w:rsid w:val="0012225E"/>
    <w:rsid w:val="00143985"/>
    <w:rsid w:val="00166E5E"/>
    <w:rsid w:val="00175F43"/>
    <w:rsid w:val="00176A36"/>
    <w:rsid w:val="001C6DCB"/>
    <w:rsid w:val="002057D6"/>
    <w:rsid w:val="002435FB"/>
    <w:rsid w:val="0024554B"/>
    <w:rsid w:val="00247F64"/>
    <w:rsid w:val="0025419D"/>
    <w:rsid w:val="00292BF2"/>
    <w:rsid w:val="00295C33"/>
    <w:rsid w:val="002E01C5"/>
    <w:rsid w:val="0034310C"/>
    <w:rsid w:val="00354F23"/>
    <w:rsid w:val="00383E99"/>
    <w:rsid w:val="00383F2C"/>
    <w:rsid w:val="003F7FEA"/>
    <w:rsid w:val="00400541"/>
    <w:rsid w:val="00475FA5"/>
    <w:rsid w:val="004852B2"/>
    <w:rsid w:val="004A5C8D"/>
    <w:rsid w:val="0050547B"/>
    <w:rsid w:val="00506B3E"/>
    <w:rsid w:val="005E1D73"/>
    <w:rsid w:val="00606722"/>
    <w:rsid w:val="00612B96"/>
    <w:rsid w:val="00634A7F"/>
    <w:rsid w:val="00652978"/>
    <w:rsid w:val="00677D50"/>
    <w:rsid w:val="006C4832"/>
    <w:rsid w:val="006F2077"/>
    <w:rsid w:val="006F68F3"/>
    <w:rsid w:val="006F726A"/>
    <w:rsid w:val="0072348B"/>
    <w:rsid w:val="007566B7"/>
    <w:rsid w:val="007640CD"/>
    <w:rsid w:val="00780824"/>
    <w:rsid w:val="00781CC3"/>
    <w:rsid w:val="007B185F"/>
    <w:rsid w:val="007B22C4"/>
    <w:rsid w:val="007B7190"/>
    <w:rsid w:val="007D77D6"/>
    <w:rsid w:val="007E0B85"/>
    <w:rsid w:val="007E6A2A"/>
    <w:rsid w:val="00807799"/>
    <w:rsid w:val="00823436"/>
    <w:rsid w:val="008544C1"/>
    <w:rsid w:val="00897F84"/>
    <w:rsid w:val="008A3B7D"/>
    <w:rsid w:val="008E5C37"/>
    <w:rsid w:val="0090243F"/>
    <w:rsid w:val="00963BB0"/>
    <w:rsid w:val="00977EE4"/>
    <w:rsid w:val="00991A42"/>
    <w:rsid w:val="00994C6A"/>
    <w:rsid w:val="00A16C57"/>
    <w:rsid w:val="00A5465F"/>
    <w:rsid w:val="00A730E2"/>
    <w:rsid w:val="00A94B73"/>
    <w:rsid w:val="00AA1657"/>
    <w:rsid w:val="00B12CF9"/>
    <w:rsid w:val="00B52477"/>
    <w:rsid w:val="00B54D05"/>
    <w:rsid w:val="00BE2F84"/>
    <w:rsid w:val="00C04F05"/>
    <w:rsid w:val="00C33296"/>
    <w:rsid w:val="00C359D3"/>
    <w:rsid w:val="00C658A7"/>
    <w:rsid w:val="00C84550"/>
    <w:rsid w:val="00CF277E"/>
    <w:rsid w:val="00D46B86"/>
    <w:rsid w:val="00DA320C"/>
    <w:rsid w:val="00DE30DA"/>
    <w:rsid w:val="00DE414B"/>
    <w:rsid w:val="00DF6426"/>
    <w:rsid w:val="00E15D19"/>
    <w:rsid w:val="00E218E1"/>
    <w:rsid w:val="00E33495"/>
    <w:rsid w:val="00E36BFF"/>
    <w:rsid w:val="00EF5C82"/>
    <w:rsid w:val="00F55791"/>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DFF22"/>
  <w15:chartTrackingRefBased/>
  <w15:docId w15:val="{BB061246-1069-F54D-93EA-FAE9E89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5884">
      <w:bodyDiv w:val="1"/>
      <w:marLeft w:val="0"/>
      <w:marRight w:val="0"/>
      <w:marTop w:val="0"/>
      <w:marBottom w:val="0"/>
      <w:divBdr>
        <w:top w:val="none" w:sz="0" w:space="0" w:color="auto"/>
        <w:left w:val="none" w:sz="0" w:space="0" w:color="auto"/>
        <w:bottom w:val="none" w:sz="0" w:space="0" w:color="auto"/>
        <w:right w:val="none" w:sz="0" w:space="0" w:color="auto"/>
      </w:divBdr>
    </w:div>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tion508.gov/sell/vpa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policy.tennessee.edu/fiscal_policy/fi0405/" TargetMode="External"/><Relationship Id="rId10" Type="http://schemas.openxmlformats.org/officeDocument/2006/relationships/hyperlink" Target="mailto:broberts@tennesse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msolu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yjroberts/Library/CloudStorage/OneDrive-UniversityofTennessee/Documents/Procurement/PO%20Files/RFQ/In%20Progress/3885246-Anderson-Greenhouse%20Solutions%20Acquisition/bid%20documents/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28AE9-812D-42EC-AD88-F54E4E95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RFQ_Template_2.25.dotx</Template>
  <TotalTime>6</TotalTime>
  <Pages>15</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 Billy J (BJ)</cp:lastModifiedBy>
  <cp:revision>4</cp:revision>
  <cp:lastPrinted>2020-01-24T15:50:00Z</cp:lastPrinted>
  <dcterms:created xsi:type="dcterms:W3CDTF">2024-04-04T19:34:00Z</dcterms:created>
  <dcterms:modified xsi:type="dcterms:W3CDTF">2024-04-25T15:51:00Z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296200</vt:r8>
  </property>
  <property fmtid="{D5CDD505-2E9C-101B-9397-08002B2CF9AE}" pid="4" name="MediaServiceImageTags">
    <vt:lpwstr/>
  </property>
</Properties>
</file>